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B237E" w14:textId="7078D164" w:rsidR="00CF76D7" w:rsidRDefault="00000000">
      <w:pPr>
        <w:spacing w:before="120" w:after="240" w:line="250" w:lineRule="auto"/>
        <w:jc w:val="right"/>
      </w:pPr>
      <w:r>
        <w:rPr>
          <w:color w:val="5A6372"/>
          <w:sz w:val="20"/>
          <w:szCs w:val="20"/>
        </w:rPr>
        <w:t>5 de novembro de 2026.</w:t>
      </w:r>
    </w:p>
    <w:tbl>
      <w:tblPr>
        <w:tblW w:w="1046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0" w:type="dxa"/>
          <w:left w:w="160" w:type="dxa"/>
          <w:bottom w:w="200" w:type="dxa"/>
          <w:right w:w="160" w:type="dxa"/>
        </w:tblCellMar>
        <w:tblLook w:val="04A0" w:firstRow="1" w:lastRow="0" w:firstColumn="1" w:lastColumn="0" w:noHBand="0" w:noVBand="1"/>
      </w:tblPr>
      <w:tblGrid>
        <w:gridCol w:w="7466"/>
        <w:gridCol w:w="3000"/>
      </w:tblGrid>
      <w:tr w:rsidR="00CF76D7" w14:paraId="176FAE65" w14:textId="77777777">
        <w:trPr>
          <w:cantSplit/>
          <w:jc w:val="center"/>
        </w:trPr>
        <w:tc>
          <w:tcPr>
            <w:tcW w:w="7466" w:type="dxa"/>
            <w:shd w:val="clear" w:color="auto" w:fill="122543"/>
            <w:tcMar>
              <w:left w:w="280" w:type="dxa"/>
            </w:tcMar>
            <w:vAlign w:val="center"/>
          </w:tcPr>
          <w:p w14:paraId="0EED656E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D9C29A"/>
                <w:sz w:val="17"/>
                <w:szCs w:val="17"/>
              </w:rPr>
              <w:t>COMUNICADO FISCAL</w:t>
            </w:r>
          </w:p>
          <w:p w14:paraId="4458D978" w14:textId="77777777" w:rsidR="00CF76D7" w:rsidRDefault="00000000">
            <w:pPr>
              <w:spacing w:before="40" w:after="0" w:line="240" w:lineRule="auto"/>
            </w:pPr>
            <w:r>
              <w:rPr>
                <w:rFonts w:ascii="Georgia" w:hAnsi="Georgia" w:cs="Georgia"/>
                <w:b/>
                <w:bCs/>
                <w:color w:val="FFFFFF"/>
                <w:sz w:val="34"/>
                <w:szCs w:val="34"/>
              </w:rPr>
              <w:t>Imposto Seletivo: alíquotas para 2027</w:t>
            </w:r>
          </w:p>
          <w:p w14:paraId="1F9BA664" w14:textId="77777777" w:rsidR="00CF76D7" w:rsidRDefault="00000000">
            <w:pPr>
              <w:spacing w:before="40" w:after="0" w:line="240" w:lineRule="auto"/>
            </w:pPr>
            <w:r>
              <w:rPr>
                <w:color w:val="E6E9EF"/>
                <w:sz w:val="20"/>
                <w:szCs w:val="20"/>
              </w:rPr>
              <w:t>Medida Provisória nº 1.399, de 4 de novembro de 2026</w:t>
            </w:r>
          </w:p>
        </w:tc>
        <w:tc>
          <w:tcPr>
            <w:tcW w:w="3000" w:type="dxa"/>
            <w:shd w:val="clear" w:color="auto" w:fill="E9DCC4"/>
            <w:vAlign w:val="center"/>
          </w:tcPr>
          <w:p w14:paraId="314AFCFB" w14:textId="77777777" w:rsidR="00CF76D7" w:rsidRDefault="00000000">
            <w:pPr>
              <w:spacing w:after="0" w:line="240" w:lineRule="auto"/>
              <w:jc w:val="center"/>
            </w:pPr>
            <w:r>
              <w:rPr>
                <w:b/>
                <w:bCs/>
                <w:color w:val="122543"/>
                <w:sz w:val="17"/>
                <w:szCs w:val="17"/>
              </w:rPr>
              <w:t>Início dos efeitos</w:t>
            </w:r>
          </w:p>
          <w:p w14:paraId="24D7FAEF" w14:textId="77777777" w:rsidR="00CF76D7" w:rsidRDefault="00000000">
            <w:pPr>
              <w:spacing w:before="40" w:after="0" w:line="240" w:lineRule="auto"/>
              <w:jc w:val="center"/>
            </w:pPr>
            <w:r>
              <w:rPr>
                <w:rFonts w:ascii="Georgia" w:hAnsi="Georgia" w:cs="Georgia"/>
                <w:b/>
                <w:bCs/>
                <w:color w:val="122543"/>
                <w:sz w:val="34"/>
                <w:szCs w:val="34"/>
              </w:rPr>
              <w:t>02/02/2027</w:t>
            </w:r>
          </w:p>
          <w:p w14:paraId="0CC25CD2" w14:textId="77777777" w:rsidR="00CF76D7" w:rsidRDefault="00000000">
            <w:pPr>
              <w:spacing w:before="20" w:after="0" w:line="240" w:lineRule="auto"/>
              <w:jc w:val="center"/>
            </w:pPr>
            <w:r>
              <w:rPr>
                <w:color w:val="5A6372"/>
                <w:sz w:val="16"/>
                <w:szCs w:val="16"/>
              </w:rPr>
              <w:t>art. 19 da MP</w:t>
            </w:r>
          </w:p>
        </w:tc>
      </w:tr>
    </w:tbl>
    <w:p w14:paraId="328224D2" w14:textId="77777777" w:rsidR="00CF76D7" w:rsidRDefault="00CF76D7">
      <w:pPr>
        <w:spacing w:after="200" w:line="240" w:lineRule="auto"/>
        <w:jc w:val="both"/>
        <w:rPr>
          <w:sz w:val="4"/>
        </w:rPr>
      </w:pPr>
    </w:p>
    <w:p w14:paraId="45CB54BF" w14:textId="77777777" w:rsidR="00CF76D7" w:rsidRDefault="00000000">
      <w:pPr>
        <w:spacing w:line="250" w:lineRule="auto"/>
        <w:jc w:val="both"/>
      </w:pPr>
      <w:r>
        <w:rPr>
          <w:color w:val="222222"/>
          <w:sz w:val="21"/>
          <w:szCs w:val="21"/>
        </w:rPr>
        <w:t>Prezado(a) cliente,</w:t>
      </w:r>
    </w:p>
    <w:p w14:paraId="247EEFAA" w14:textId="77777777" w:rsidR="00CF76D7" w:rsidRDefault="00000000">
      <w:pPr>
        <w:spacing w:after="120" w:line="250" w:lineRule="auto"/>
        <w:jc w:val="both"/>
      </w:pPr>
      <w:r>
        <w:rPr>
          <w:color w:val="222222"/>
          <w:sz w:val="21"/>
          <w:szCs w:val="21"/>
        </w:rPr>
        <w:t xml:space="preserve">Foi publicada no Diário Oficial da União de 4 de novembro de 2026 (edição extra) a </w:t>
      </w:r>
      <w:r>
        <w:rPr>
          <w:b/>
          <w:bCs/>
          <w:color w:val="222222"/>
          <w:sz w:val="21"/>
          <w:szCs w:val="21"/>
        </w:rPr>
        <w:t>Medida Provisória nº 1.399/2026</w:t>
      </w:r>
      <w:r>
        <w:rPr>
          <w:color w:val="222222"/>
          <w:sz w:val="21"/>
          <w:szCs w:val="21"/>
        </w:rPr>
        <w:t xml:space="preserve">, que fixa as alíquotas e as normas complementares do </w:t>
      </w:r>
      <w:r>
        <w:rPr>
          <w:b/>
          <w:bCs/>
          <w:color w:val="222222"/>
          <w:sz w:val="21"/>
          <w:szCs w:val="21"/>
        </w:rPr>
        <w:t>Imposto Seletivo (IS)</w:t>
      </w:r>
      <w:r>
        <w:rPr>
          <w:color w:val="222222"/>
          <w:sz w:val="21"/>
          <w:szCs w:val="21"/>
        </w:rPr>
        <w:t xml:space="preserve"> para o ano-calendário de 2027, dentro do chamado Regime de Implementação Gradual.</w:t>
      </w:r>
    </w:p>
    <w:p w14:paraId="34BD2327" w14:textId="77777777" w:rsidR="00CF76D7" w:rsidRDefault="00000000">
      <w:pPr>
        <w:spacing w:after="120" w:line="250" w:lineRule="auto"/>
        <w:jc w:val="both"/>
      </w:pPr>
      <w:r>
        <w:rPr>
          <w:color w:val="222222"/>
          <w:sz w:val="21"/>
          <w:szCs w:val="21"/>
        </w:rPr>
        <w:t xml:space="preserve">O IS é o tributo federal criado pela Reforma Tributária para incidir sobre bens e serviços prejudiciais à saúde ou ao meio ambiente (veículos, aeronaves, embarcações, bebidas alcoólicas e açucaradas, produtos fumígenos, bens minerais e concursos de prognósticos). Para quem hoje convive com o IPI sobre esses produtos, o ponto de partida é conhecido: a MP adota como </w:t>
      </w:r>
      <w:r>
        <w:rPr>
          <w:b/>
          <w:bCs/>
          <w:color w:val="222222"/>
          <w:sz w:val="21"/>
          <w:szCs w:val="21"/>
        </w:rPr>
        <w:t>alíquota inicial do IS a alíquota da TIPI vigente na data da sua publicação</w:t>
      </w:r>
      <w:r>
        <w:rPr>
          <w:color w:val="222222"/>
          <w:sz w:val="21"/>
          <w:szCs w:val="21"/>
        </w:rPr>
        <w:t xml:space="preserve"> (art. 3º, § 1º, III), multiplicada por um </w:t>
      </w:r>
      <w:r>
        <w:rPr>
          <w:b/>
          <w:bCs/>
          <w:color w:val="222222"/>
          <w:sz w:val="21"/>
          <w:szCs w:val="21"/>
        </w:rPr>
        <w:t>fator de conversão</w:t>
      </w:r>
      <w:r>
        <w:rPr>
          <w:color w:val="222222"/>
          <w:sz w:val="21"/>
          <w:szCs w:val="21"/>
        </w:rPr>
        <w:t xml:space="preserve"> definido em seus anexos. Na prática, a carga que hoje está no IPI desses itens migra, em 2027, para o IS — e, em diversos casos, com alíquota maior.</w:t>
      </w:r>
    </w:p>
    <w:p w14:paraId="56FA5334" w14:textId="77777777" w:rsidR="00CF76D7" w:rsidRDefault="00000000">
      <w:pPr>
        <w:keepNext/>
        <w:pBdr>
          <w:bottom w:val="single" w:sz="8" w:space="3" w:color="B08D57"/>
        </w:pBdr>
        <w:spacing w:before="200" w:after="120" w:line="250" w:lineRule="auto"/>
      </w:pPr>
      <w:r>
        <w:rPr>
          <w:rFonts w:ascii="Georgia" w:hAnsi="Georgia" w:cs="Georgia"/>
          <w:b/>
          <w:bCs/>
          <w:color w:val="B08D57"/>
          <w:sz w:val="24"/>
          <w:szCs w:val="24"/>
        </w:rPr>
        <w:t xml:space="preserve">01  </w:t>
      </w:r>
      <w:r>
        <w:rPr>
          <w:rFonts w:ascii="Georgia" w:hAnsi="Georgia" w:cs="Georgia"/>
          <w:b/>
          <w:bCs/>
          <w:color w:val="122543"/>
          <w:sz w:val="24"/>
          <w:szCs w:val="24"/>
        </w:rPr>
        <w:t>Vigência e prazos</w:t>
      </w:r>
    </w:p>
    <w:tbl>
      <w:tblPr>
        <w:tblW w:w="1046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40" w:type="dxa"/>
          <w:left w:w="150" w:type="dxa"/>
          <w:bottom w:w="140" w:type="dxa"/>
          <w:right w:w="150" w:type="dxa"/>
        </w:tblCellMar>
        <w:tblLook w:val="04A0" w:firstRow="1" w:lastRow="0" w:firstColumn="1" w:lastColumn="0" w:noHBand="0" w:noVBand="1"/>
      </w:tblPr>
      <w:tblGrid>
        <w:gridCol w:w="2616"/>
        <w:gridCol w:w="2616"/>
        <w:gridCol w:w="2616"/>
        <w:gridCol w:w="2618"/>
      </w:tblGrid>
      <w:tr w:rsidR="00CF76D7" w14:paraId="7E34C831" w14:textId="77777777">
        <w:trPr>
          <w:cantSplit/>
          <w:jc w:val="center"/>
        </w:trPr>
        <w:tc>
          <w:tcPr>
            <w:tcW w:w="2616" w:type="dxa"/>
            <w:tcBorders>
              <w:top w:val="single" w:sz="24" w:space="0" w:color="122543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3F5F8"/>
          </w:tcPr>
          <w:p w14:paraId="5C56C908" w14:textId="77777777" w:rsidR="00CF76D7" w:rsidRDefault="00000000">
            <w:pPr>
              <w:spacing w:after="0" w:line="240" w:lineRule="auto"/>
            </w:pPr>
            <w:r>
              <w:rPr>
                <w:rFonts w:ascii="Georgia" w:hAnsi="Georgia" w:cs="Georgia"/>
                <w:b/>
                <w:bCs/>
                <w:color w:val="122543"/>
                <w:sz w:val="26"/>
                <w:szCs w:val="26"/>
              </w:rPr>
              <w:t>04/11/2026</w:t>
            </w:r>
          </w:p>
          <w:p w14:paraId="086B1B44" w14:textId="77777777" w:rsidR="00CF76D7" w:rsidRDefault="00000000">
            <w:pPr>
              <w:spacing w:before="40"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Publicação e vigência</w:t>
            </w:r>
          </w:p>
          <w:p w14:paraId="1001ADA3" w14:textId="77777777" w:rsidR="00CF76D7" w:rsidRDefault="00000000">
            <w:pPr>
              <w:spacing w:before="40" w:after="0" w:line="240" w:lineRule="auto"/>
            </w:pPr>
            <w:r>
              <w:rPr>
                <w:color w:val="5A6372"/>
                <w:sz w:val="16"/>
                <w:szCs w:val="16"/>
              </w:rPr>
              <w:t>A MP entra em vigor na data da publicação (art. 19).</w:t>
            </w:r>
          </w:p>
        </w:tc>
        <w:tc>
          <w:tcPr>
            <w:tcW w:w="2616" w:type="dxa"/>
            <w:tcBorders>
              <w:top w:val="single" w:sz="24" w:space="0" w:color="B08D57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6F0E6"/>
          </w:tcPr>
          <w:p w14:paraId="2B6F06F4" w14:textId="77777777" w:rsidR="00CF76D7" w:rsidRDefault="00000000">
            <w:pPr>
              <w:spacing w:after="0" w:line="240" w:lineRule="auto"/>
            </w:pPr>
            <w:r>
              <w:rPr>
                <w:rFonts w:ascii="Georgia" w:hAnsi="Georgia" w:cs="Georgia"/>
                <w:b/>
                <w:bCs/>
                <w:color w:val="122543"/>
                <w:sz w:val="26"/>
                <w:szCs w:val="26"/>
              </w:rPr>
              <w:t>02/02/2027</w:t>
            </w:r>
          </w:p>
          <w:p w14:paraId="5D6A9615" w14:textId="77777777" w:rsidR="00CF76D7" w:rsidRDefault="00000000">
            <w:pPr>
              <w:spacing w:before="40" w:after="0" w:line="240" w:lineRule="auto"/>
            </w:pPr>
            <w:r>
              <w:rPr>
                <w:b/>
                <w:bCs/>
                <w:color w:val="B08D57"/>
                <w:sz w:val="18"/>
                <w:szCs w:val="18"/>
              </w:rPr>
              <w:t>Início dos efeitos</w:t>
            </w:r>
          </w:p>
          <w:p w14:paraId="5D0C7C7E" w14:textId="77777777" w:rsidR="00CF76D7" w:rsidRDefault="00000000">
            <w:pPr>
              <w:spacing w:before="40" w:after="0" w:line="240" w:lineRule="auto"/>
            </w:pPr>
            <w:r>
              <w:rPr>
                <w:color w:val="5A6372"/>
                <w:sz w:val="16"/>
                <w:szCs w:val="16"/>
              </w:rPr>
              <w:t>As alíquotas e regras passam a produzir efeitos (art. 19).</w:t>
            </w:r>
          </w:p>
        </w:tc>
        <w:tc>
          <w:tcPr>
            <w:tcW w:w="2616" w:type="dxa"/>
            <w:tcBorders>
              <w:top w:val="single" w:sz="24" w:space="0" w:color="122543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3F5F8"/>
          </w:tcPr>
          <w:p w14:paraId="4310D7F2" w14:textId="77777777" w:rsidR="00CF76D7" w:rsidRDefault="00000000">
            <w:pPr>
              <w:spacing w:after="0" w:line="240" w:lineRule="auto"/>
            </w:pPr>
            <w:r>
              <w:rPr>
                <w:rFonts w:ascii="Georgia" w:hAnsi="Georgia" w:cs="Georgia"/>
                <w:b/>
                <w:bCs/>
                <w:color w:val="122543"/>
                <w:sz w:val="26"/>
                <w:szCs w:val="26"/>
              </w:rPr>
              <w:t>31/05/2027</w:t>
            </w:r>
          </w:p>
          <w:p w14:paraId="78394783" w14:textId="77777777" w:rsidR="00CF76D7" w:rsidRDefault="00000000">
            <w:pPr>
              <w:spacing w:before="40"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Projeto de lei</w:t>
            </w:r>
          </w:p>
          <w:p w14:paraId="48795C4F" w14:textId="77777777" w:rsidR="00CF76D7" w:rsidRDefault="00000000">
            <w:pPr>
              <w:spacing w:before="40" w:after="0" w:line="240" w:lineRule="auto"/>
            </w:pPr>
            <w:r>
              <w:rPr>
                <w:color w:val="5A6372"/>
                <w:sz w:val="16"/>
                <w:szCs w:val="16"/>
              </w:rPr>
              <w:t>Prazo para o Executivo enviar ao Congresso as alíquotas de 2028 (art. 15).</w:t>
            </w:r>
          </w:p>
        </w:tc>
        <w:tc>
          <w:tcPr>
            <w:tcW w:w="2618" w:type="dxa"/>
            <w:tcBorders>
              <w:top w:val="single" w:sz="24" w:space="0" w:color="122543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3F5F8"/>
          </w:tcPr>
          <w:p w14:paraId="72D715F1" w14:textId="77777777" w:rsidR="00CF76D7" w:rsidRDefault="00000000">
            <w:pPr>
              <w:spacing w:after="0" w:line="240" w:lineRule="auto"/>
            </w:pPr>
            <w:r>
              <w:rPr>
                <w:rFonts w:ascii="Georgia" w:hAnsi="Georgia" w:cs="Georgia"/>
                <w:b/>
                <w:bCs/>
                <w:color w:val="122543"/>
                <w:sz w:val="26"/>
                <w:szCs w:val="26"/>
              </w:rPr>
              <w:t>31/12/2027</w:t>
            </w:r>
          </w:p>
          <w:p w14:paraId="4071B730" w14:textId="77777777" w:rsidR="00CF76D7" w:rsidRDefault="00000000">
            <w:pPr>
              <w:spacing w:before="40"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Fim das regras transitórias</w:t>
            </w:r>
          </w:p>
          <w:p w14:paraId="658D70FF" w14:textId="77777777" w:rsidR="00CF76D7" w:rsidRDefault="00000000">
            <w:pPr>
              <w:spacing w:before="40" w:after="0" w:line="240" w:lineRule="auto"/>
            </w:pPr>
            <w:r>
              <w:rPr>
                <w:color w:val="5A6372"/>
                <w:sz w:val="16"/>
                <w:szCs w:val="16"/>
              </w:rPr>
              <w:t>Termo final das reduções e critérios excepcionais do art. 6º.</w:t>
            </w:r>
          </w:p>
        </w:tc>
      </w:tr>
    </w:tbl>
    <w:p w14:paraId="49F0ECAC" w14:textId="77777777" w:rsidR="00CF76D7" w:rsidRDefault="00CF76D7">
      <w:pPr>
        <w:spacing w:after="120" w:line="240" w:lineRule="auto"/>
        <w:jc w:val="both"/>
        <w:rPr>
          <w:sz w:val="4"/>
        </w:rPr>
      </w:pPr>
    </w:p>
    <w:p w14:paraId="3AB4597A" w14:textId="77777777" w:rsidR="00CF76D7" w:rsidRDefault="00000000">
      <w:pPr>
        <w:spacing w:after="120" w:line="250" w:lineRule="auto"/>
        <w:jc w:val="both"/>
      </w:pPr>
      <w:r>
        <w:rPr>
          <w:color w:val="222222"/>
          <w:sz w:val="21"/>
          <w:szCs w:val="21"/>
        </w:rPr>
        <w:t>A MP permanece em vigor até que comecem a produzir efeitos as alíquotas que serão fixadas na lei prevista no art. 15 (a partir de 1º/01/2028). Por se tratar de medida provisória, o texto ainda depende de conversão em lei pelo Congresso Nacional e pode sofrer alterações.</w:t>
      </w:r>
    </w:p>
    <w:p w14:paraId="33D972BD" w14:textId="77777777" w:rsidR="00CF76D7" w:rsidRDefault="00000000">
      <w:pPr>
        <w:keepNext/>
        <w:pBdr>
          <w:bottom w:val="single" w:sz="8" w:space="3" w:color="B08D57"/>
        </w:pBdr>
        <w:spacing w:before="200" w:after="120" w:line="250" w:lineRule="auto"/>
      </w:pPr>
      <w:r>
        <w:rPr>
          <w:rFonts w:ascii="Georgia" w:hAnsi="Georgia" w:cs="Georgia"/>
          <w:b/>
          <w:bCs/>
          <w:color w:val="B08D57"/>
          <w:sz w:val="24"/>
          <w:szCs w:val="24"/>
        </w:rPr>
        <w:t xml:space="preserve">02  </w:t>
      </w:r>
      <w:r>
        <w:rPr>
          <w:rFonts w:ascii="Georgia" w:hAnsi="Georgia" w:cs="Georgia"/>
          <w:b/>
          <w:bCs/>
          <w:color w:val="122543"/>
          <w:sz w:val="24"/>
          <w:szCs w:val="24"/>
        </w:rPr>
        <w:t>Bebidas e produtos fumígenos (Anexo IV)</w:t>
      </w:r>
    </w:p>
    <w:tbl>
      <w:tblPr>
        <w:tblW w:w="10466" w:type="dxa"/>
        <w:jc w:val="center"/>
        <w:tblBorders>
          <w:top w:val="single" w:sz="4" w:space="0" w:color="D5DAE2"/>
          <w:left w:val="nil"/>
          <w:bottom w:val="single" w:sz="4" w:space="0" w:color="D5DAE2"/>
          <w:right w:val="nil"/>
          <w:insideH w:val="single" w:sz="4" w:space="0" w:color="D5DAE2"/>
          <w:insideV w:val="single" w:sz="4" w:space="0" w:color="D5DAE2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  <w:tblLook w:val="04A0" w:firstRow="1" w:lastRow="0" w:firstColumn="1" w:lastColumn="0" w:noHBand="0" w:noVBand="1"/>
      </w:tblPr>
      <w:tblGrid>
        <w:gridCol w:w="4466"/>
        <w:gridCol w:w="1500"/>
        <w:gridCol w:w="1500"/>
        <w:gridCol w:w="1500"/>
        <w:gridCol w:w="1500"/>
      </w:tblGrid>
      <w:tr w:rsidR="00CF76D7" w14:paraId="2365B223" w14:textId="77777777">
        <w:trPr>
          <w:cantSplit/>
          <w:tblHeader/>
          <w:jc w:val="center"/>
        </w:trPr>
        <w:tc>
          <w:tcPr>
            <w:tcW w:w="4466" w:type="dxa"/>
            <w:shd w:val="clear" w:color="auto" w:fill="122543"/>
            <w:vAlign w:val="center"/>
          </w:tcPr>
          <w:p w14:paraId="38139933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Produto / classificação NCM</w:t>
            </w:r>
          </w:p>
        </w:tc>
        <w:tc>
          <w:tcPr>
            <w:tcW w:w="1500" w:type="dxa"/>
            <w:shd w:val="clear" w:color="auto" w:fill="122543"/>
            <w:vAlign w:val="center"/>
          </w:tcPr>
          <w:p w14:paraId="62E8F984" w14:textId="77777777" w:rsidR="00CF76D7" w:rsidRDefault="00000000">
            <w:pPr>
              <w:spacing w:after="0"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Alíquota inicial</w:t>
            </w:r>
          </w:p>
        </w:tc>
        <w:tc>
          <w:tcPr>
            <w:tcW w:w="1500" w:type="dxa"/>
            <w:shd w:val="clear" w:color="auto" w:fill="122543"/>
            <w:vAlign w:val="center"/>
          </w:tcPr>
          <w:p w14:paraId="1EB91B71" w14:textId="77777777" w:rsidR="00CF76D7" w:rsidRDefault="00000000">
            <w:pPr>
              <w:spacing w:after="0"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Fator de conversão</w:t>
            </w:r>
          </w:p>
        </w:tc>
        <w:tc>
          <w:tcPr>
            <w:tcW w:w="1500" w:type="dxa"/>
            <w:shd w:val="clear" w:color="auto" w:fill="122543"/>
            <w:vAlign w:val="center"/>
          </w:tcPr>
          <w:p w14:paraId="3E5E7366" w14:textId="77777777" w:rsidR="00CF76D7" w:rsidRDefault="00000000">
            <w:pPr>
              <w:spacing w:after="0"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Alíquota específica</w:t>
            </w:r>
          </w:p>
        </w:tc>
        <w:tc>
          <w:tcPr>
            <w:tcW w:w="1500" w:type="dxa"/>
            <w:shd w:val="clear" w:color="auto" w:fill="122543"/>
            <w:vAlign w:val="center"/>
          </w:tcPr>
          <w:p w14:paraId="487DF67B" w14:textId="77777777" w:rsidR="00CF76D7" w:rsidRDefault="00000000">
            <w:pPr>
              <w:spacing w:after="0"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Alíquota final IS</w:t>
            </w:r>
          </w:p>
        </w:tc>
      </w:tr>
      <w:tr w:rsidR="00CF76D7" w14:paraId="27B4B743" w14:textId="77777777">
        <w:trPr>
          <w:cantSplit/>
          <w:jc w:val="center"/>
        </w:trPr>
        <w:tc>
          <w:tcPr>
            <w:tcW w:w="4466" w:type="dxa"/>
            <w:vAlign w:val="center"/>
          </w:tcPr>
          <w:p w14:paraId="0F6FC04F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Bebidas açucaradas</w:t>
            </w:r>
          </w:p>
          <w:p w14:paraId="4D315723" w14:textId="77777777" w:rsidR="00CF76D7" w:rsidRDefault="00000000">
            <w:pPr>
              <w:spacing w:after="0" w:line="240" w:lineRule="auto"/>
            </w:pPr>
            <w:r>
              <w:rPr>
                <w:color w:val="5A6372"/>
                <w:sz w:val="16"/>
                <w:szCs w:val="16"/>
              </w:rPr>
              <w:t>NCM 2202.10.00</w:t>
            </w:r>
          </w:p>
        </w:tc>
        <w:tc>
          <w:tcPr>
            <w:tcW w:w="1500" w:type="dxa"/>
            <w:vAlign w:val="center"/>
          </w:tcPr>
          <w:p w14:paraId="78E8BBA5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2,6%</w:t>
            </w:r>
          </w:p>
        </w:tc>
        <w:tc>
          <w:tcPr>
            <w:tcW w:w="1500" w:type="dxa"/>
            <w:vAlign w:val="center"/>
          </w:tcPr>
          <w:p w14:paraId="1373924B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1,00</w:t>
            </w:r>
          </w:p>
        </w:tc>
        <w:tc>
          <w:tcPr>
            <w:tcW w:w="1500" w:type="dxa"/>
            <w:vAlign w:val="center"/>
          </w:tcPr>
          <w:p w14:paraId="53C009B5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—</w:t>
            </w:r>
          </w:p>
        </w:tc>
        <w:tc>
          <w:tcPr>
            <w:tcW w:w="1500" w:type="dxa"/>
            <w:shd w:val="clear" w:color="auto" w:fill="F6F0E6"/>
            <w:vAlign w:val="center"/>
          </w:tcPr>
          <w:p w14:paraId="09414304" w14:textId="77777777" w:rsidR="00CF76D7" w:rsidRDefault="00000000">
            <w:pPr>
              <w:spacing w:after="0" w:line="240" w:lineRule="auto"/>
              <w:jc w:val="center"/>
            </w:pPr>
            <w:r>
              <w:rPr>
                <w:rFonts w:ascii="Georgia" w:hAnsi="Georgia" w:cs="Georgia"/>
                <w:b/>
                <w:bCs/>
                <w:color w:val="122543"/>
                <w:sz w:val="21"/>
                <w:szCs w:val="21"/>
              </w:rPr>
              <w:t>2,6%</w:t>
            </w:r>
          </w:p>
        </w:tc>
      </w:tr>
      <w:tr w:rsidR="00CF76D7" w14:paraId="1BBCF87F" w14:textId="77777777">
        <w:trPr>
          <w:cantSplit/>
          <w:jc w:val="center"/>
        </w:trPr>
        <w:tc>
          <w:tcPr>
            <w:tcW w:w="4466" w:type="dxa"/>
            <w:shd w:val="clear" w:color="auto" w:fill="F3F5F8"/>
            <w:vAlign w:val="center"/>
          </w:tcPr>
          <w:p w14:paraId="5AE751C4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Cervejas de malte</w:t>
            </w:r>
          </w:p>
          <w:p w14:paraId="7738B087" w14:textId="77777777" w:rsidR="00CF76D7" w:rsidRDefault="00000000">
            <w:pPr>
              <w:spacing w:after="0" w:line="240" w:lineRule="auto"/>
            </w:pPr>
            <w:r>
              <w:rPr>
                <w:color w:val="5A6372"/>
                <w:sz w:val="16"/>
                <w:szCs w:val="16"/>
              </w:rPr>
              <w:t>Posição 22.03</w:t>
            </w:r>
          </w:p>
        </w:tc>
        <w:tc>
          <w:tcPr>
            <w:tcW w:w="1500" w:type="dxa"/>
            <w:shd w:val="clear" w:color="auto" w:fill="F3F5F8"/>
            <w:vAlign w:val="center"/>
          </w:tcPr>
          <w:p w14:paraId="54D93390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3,9%</w:t>
            </w:r>
          </w:p>
        </w:tc>
        <w:tc>
          <w:tcPr>
            <w:tcW w:w="1500" w:type="dxa"/>
            <w:shd w:val="clear" w:color="auto" w:fill="F3F5F8"/>
            <w:vAlign w:val="center"/>
          </w:tcPr>
          <w:p w14:paraId="2B9BF35B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1,07</w:t>
            </w:r>
          </w:p>
        </w:tc>
        <w:tc>
          <w:tcPr>
            <w:tcW w:w="1500" w:type="dxa"/>
            <w:shd w:val="clear" w:color="auto" w:fill="F3F5F8"/>
            <w:vAlign w:val="center"/>
          </w:tcPr>
          <w:p w14:paraId="18D3ADF2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—</w:t>
            </w:r>
          </w:p>
        </w:tc>
        <w:tc>
          <w:tcPr>
            <w:tcW w:w="1500" w:type="dxa"/>
            <w:shd w:val="clear" w:color="auto" w:fill="F6F0E6"/>
            <w:vAlign w:val="center"/>
          </w:tcPr>
          <w:p w14:paraId="0BC4E61F" w14:textId="77777777" w:rsidR="00CF76D7" w:rsidRDefault="00000000">
            <w:pPr>
              <w:spacing w:after="0" w:line="240" w:lineRule="auto"/>
              <w:jc w:val="center"/>
            </w:pPr>
            <w:r>
              <w:rPr>
                <w:rFonts w:ascii="Georgia" w:hAnsi="Georgia" w:cs="Georgia"/>
                <w:b/>
                <w:bCs/>
                <w:color w:val="122543"/>
                <w:sz w:val="21"/>
                <w:szCs w:val="21"/>
              </w:rPr>
              <w:t>4,2%</w:t>
            </w:r>
          </w:p>
        </w:tc>
      </w:tr>
      <w:tr w:rsidR="00CF76D7" w14:paraId="3D4D9FEE" w14:textId="77777777">
        <w:trPr>
          <w:cantSplit/>
          <w:jc w:val="center"/>
        </w:trPr>
        <w:tc>
          <w:tcPr>
            <w:tcW w:w="4466" w:type="dxa"/>
            <w:vAlign w:val="center"/>
          </w:tcPr>
          <w:p w14:paraId="3B95F3AF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Vinhos e demais bebidas fermentadas</w:t>
            </w:r>
          </w:p>
          <w:p w14:paraId="02B2485C" w14:textId="77777777" w:rsidR="00CF76D7" w:rsidRDefault="00000000">
            <w:pPr>
              <w:spacing w:after="0" w:line="240" w:lineRule="auto"/>
            </w:pPr>
            <w:r>
              <w:rPr>
                <w:color w:val="5A6372"/>
                <w:sz w:val="16"/>
                <w:szCs w:val="16"/>
              </w:rPr>
              <w:t>Posições 22.04 e 22.06 (exceto os itens abaixo)</w:t>
            </w:r>
          </w:p>
        </w:tc>
        <w:tc>
          <w:tcPr>
            <w:tcW w:w="1500" w:type="dxa"/>
            <w:vAlign w:val="center"/>
          </w:tcPr>
          <w:p w14:paraId="0C8EA55A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6,5%</w:t>
            </w:r>
          </w:p>
        </w:tc>
        <w:tc>
          <w:tcPr>
            <w:tcW w:w="1500" w:type="dxa"/>
            <w:vAlign w:val="center"/>
          </w:tcPr>
          <w:p w14:paraId="576A1C74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1,23</w:t>
            </w:r>
          </w:p>
        </w:tc>
        <w:tc>
          <w:tcPr>
            <w:tcW w:w="1500" w:type="dxa"/>
            <w:vAlign w:val="center"/>
          </w:tcPr>
          <w:p w14:paraId="1CD265CD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—</w:t>
            </w:r>
          </w:p>
        </w:tc>
        <w:tc>
          <w:tcPr>
            <w:tcW w:w="1500" w:type="dxa"/>
            <w:shd w:val="clear" w:color="auto" w:fill="F6F0E6"/>
            <w:vAlign w:val="center"/>
          </w:tcPr>
          <w:p w14:paraId="4E982198" w14:textId="77777777" w:rsidR="00CF76D7" w:rsidRDefault="00000000">
            <w:pPr>
              <w:spacing w:after="0" w:line="240" w:lineRule="auto"/>
              <w:jc w:val="center"/>
            </w:pPr>
            <w:r>
              <w:rPr>
                <w:rFonts w:ascii="Georgia" w:hAnsi="Georgia" w:cs="Georgia"/>
                <w:b/>
                <w:bCs/>
                <w:color w:val="122543"/>
                <w:sz w:val="21"/>
                <w:szCs w:val="21"/>
              </w:rPr>
              <w:t>8,0%</w:t>
            </w:r>
          </w:p>
        </w:tc>
      </w:tr>
      <w:tr w:rsidR="00CF76D7" w14:paraId="4FA56B92" w14:textId="77777777">
        <w:trPr>
          <w:cantSplit/>
          <w:jc w:val="center"/>
        </w:trPr>
        <w:tc>
          <w:tcPr>
            <w:tcW w:w="4466" w:type="dxa"/>
            <w:shd w:val="clear" w:color="auto" w:fill="F3F5F8"/>
            <w:vAlign w:val="center"/>
          </w:tcPr>
          <w:p w14:paraId="65FD53E3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Vermutes e demais bebidas da posição 22.05</w:t>
            </w:r>
          </w:p>
        </w:tc>
        <w:tc>
          <w:tcPr>
            <w:tcW w:w="1500" w:type="dxa"/>
            <w:shd w:val="clear" w:color="auto" w:fill="F3F5F8"/>
            <w:vAlign w:val="center"/>
          </w:tcPr>
          <w:p w14:paraId="428810EB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9,75%</w:t>
            </w:r>
          </w:p>
        </w:tc>
        <w:tc>
          <w:tcPr>
            <w:tcW w:w="1500" w:type="dxa"/>
            <w:shd w:val="clear" w:color="auto" w:fill="F3F5F8"/>
            <w:vAlign w:val="center"/>
          </w:tcPr>
          <w:p w14:paraId="78FDDEF6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1,23</w:t>
            </w:r>
          </w:p>
        </w:tc>
        <w:tc>
          <w:tcPr>
            <w:tcW w:w="1500" w:type="dxa"/>
            <w:shd w:val="clear" w:color="auto" w:fill="F3F5F8"/>
            <w:vAlign w:val="center"/>
          </w:tcPr>
          <w:p w14:paraId="3E5F6A2B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—</w:t>
            </w:r>
          </w:p>
        </w:tc>
        <w:tc>
          <w:tcPr>
            <w:tcW w:w="1500" w:type="dxa"/>
            <w:shd w:val="clear" w:color="auto" w:fill="F6F0E6"/>
            <w:vAlign w:val="center"/>
          </w:tcPr>
          <w:p w14:paraId="6D78D58D" w14:textId="77777777" w:rsidR="00CF76D7" w:rsidRDefault="00000000">
            <w:pPr>
              <w:spacing w:after="0" w:line="240" w:lineRule="auto"/>
              <w:jc w:val="center"/>
            </w:pPr>
            <w:r>
              <w:rPr>
                <w:rFonts w:ascii="Georgia" w:hAnsi="Georgia" w:cs="Georgia"/>
                <w:b/>
                <w:bCs/>
                <w:color w:val="122543"/>
                <w:sz w:val="21"/>
                <w:szCs w:val="21"/>
              </w:rPr>
              <w:t>12,0%</w:t>
            </w:r>
          </w:p>
        </w:tc>
      </w:tr>
      <w:tr w:rsidR="00CF76D7" w14:paraId="29BFFE1D" w14:textId="77777777">
        <w:trPr>
          <w:cantSplit/>
          <w:jc w:val="center"/>
        </w:trPr>
        <w:tc>
          <w:tcPr>
            <w:tcW w:w="4466" w:type="dxa"/>
            <w:vAlign w:val="center"/>
          </w:tcPr>
          <w:p w14:paraId="181CA8DE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Vinhos da Madeira, do Porto e de Xerez</w:t>
            </w:r>
          </w:p>
          <w:p w14:paraId="1E87048C" w14:textId="77777777" w:rsidR="00CF76D7" w:rsidRDefault="00000000">
            <w:pPr>
              <w:spacing w:after="0" w:line="240" w:lineRule="auto"/>
            </w:pPr>
            <w:r>
              <w:rPr>
                <w:color w:val="5A6372"/>
                <w:sz w:val="16"/>
                <w:szCs w:val="16"/>
              </w:rPr>
              <w:t>2204.21.00, 2204.22.11, 2204.22.19 e 2204.29.10</w:t>
            </w:r>
          </w:p>
        </w:tc>
        <w:tc>
          <w:tcPr>
            <w:tcW w:w="1500" w:type="dxa"/>
            <w:vAlign w:val="center"/>
          </w:tcPr>
          <w:p w14:paraId="3CC635AB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13%</w:t>
            </w:r>
          </w:p>
        </w:tc>
        <w:tc>
          <w:tcPr>
            <w:tcW w:w="1500" w:type="dxa"/>
            <w:vAlign w:val="center"/>
          </w:tcPr>
          <w:p w14:paraId="1B05AD8D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1,23</w:t>
            </w:r>
          </w:p>
        </w:tc>
        <w:tc>
          <w:tcPr>
            <w:tcW w:w="1500" w:type="dxa"/>
            <w:vAlign w:val="center"/>
          </w:tcPr>
          <w:p w14:paraId="43DFB830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—</w:t>
            </w:r>
          </w:p>
        </w:tc>
        <w:tc>
          <w:tcPr>
            <w:tcW w:w="1500" w:type="dxa"/>
            <w:shd w:val="clear" w:color="auto" w:fill="F6F0E6"/>
            <w:vAlign w:val="center"/>
          </w:tcPr>
          <w:p w14:paraId="78A9EB97" w14:textId="77777777" w:rsidR="00CF76D7" w:rsidRDefault="00000000">
            <w:pPr>
              <w:spacing w:after="0" w:line="240" w:lineRule="auto"/>
              <w:jc w:val="center"/>
            </w:pPr>
            <w:r>
              <w:rPr>
                <w:rFonts w:ascii="Georgia" w:hAnsi="Georgia" w:cs="Georgia"/>
                <w:b/>
                <w:bCs/>
                <w:color w:val="122543"/>
                <w:sz w:val="21"/>
                <w:szCs w:val="21"/>
              </w:rPr>
              <w:t>16,0%</w:t>
            </w:r>
          </w:p>
        </w:tc>
      </w:tr>
      <w:tr w:rsidR="00CF76D7" w14:paraId="270DB2F4" w14:textId="77777777">
        <w:trPr>
          <w:cantSplit/>
          <w:jc w:val="center"/>
        </w:trPr>
        <w:tc>
          <w:tcPr>
            <w:tcW w:w="4466" w:type="dxa"/>
            <w:shd w:val="clear" w:color="auto" w:fill="F3F5F8"/>
            <w:vAlign w:val="center"/>
          </w:tcPr>
          <w:p w14:paraId="4584548F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Bebidas com teor alcoólico acima de 14%</w:t>
            </w:r>
          </w:p>
          <w:p w14:paraId="00ACCA5E" w14:textId="77777777" w:rsidR="00CF76D7" w:rsidRDefault="00000000">
            <w:pPr>
              <w:spacing w:after="0" w:line="240" w:lineRule="auto"/>
            </w:pPr>
            <w:r>
              <w:rPr>
                <w:color w:val="5A6372"/>
                <w:sz w:val="16"/>
                <w:szCs w:val="16"/>
              </w:rPr>
              <w:t>NCM 2206.00.90</w:t>
            </w:r>
          </w:p>
        </w:tc>
        <w:tc>
          <w:tcPr>
            <w:tcW w:w="1500" w:type="dxa"/>
            <w:shd w:val="clear" w:color="auto" w:fill="F3F5F8"/>
            <w:vAlign w:val="center"/>
          </w:tcPr>
          <w:p w14:paraId="7FDC3882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13%</w:t>
            </w:r>
          </w:p>
        </w:tc>
        <w:tc>
          <w:tcPr>
            <w:tcW w:w="1500" w:type="dxa"/>
            <w:shd w:val="clear" w:color="auto" w:fill="F3F5F8"/>
            <w:vAlign w:val="center"/>
          </w:tcPr>
          <w:p w14:paraId="3E70D48E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1,23</w:t>
            </w:r>
          </w:p>
        </w:tc>
        <w:tc>
          <w:tcPr>
            <w:tcW w:w="1500" w:type="dxa"/>
            <w:shd w:val="clear" w:color="auto" w:fill="F3F5F8"/>
            <w:vAlign w:val="center"/>
          </w:tcPr>
          <w:p w14:paraId="09971E3C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—</w:t>
            </w:r>
          </w:p>
        </w:tc>
        <w:tc>
          <w:tcPr>
            <w:tcW w:w="1500" w:type="dxa"/>
            <w:shd w:val="clear" w:color="auto" w:fill="F6F0E6"/>
            <w:vAlign w:val="center"/>
          </w:tcPr>
          <w:p w14:paraId="056FA4B0" w14:textId="77777777" w:rsidR="00CF76D7" w:rsidRDefault="00000000">
            <w:pPr>
              <w:spacing w:after="0" w:line="240" w:lineRule="auto"/>
              <w:jc w:val="center"/>
            </w:pPr>
            <w:r>
              <w:rPr>
                <w:rFonts w:ascii="Georgia" w:hAnsi="Georgia" w:cs="Georgia"/>
                <w:b/>
                <w:bCs/>
                <w:color w:val="122543"/>
                <w:sz w:val="21"/>
                <w:szCs w:val="21"/>
              </w:rPr>
              <w:t>16,0%</w:t>
            </w:r>
          </w:p>
        </w:tc>
      </w:tr>
      <w:tr w:rsidR="00CF76D7" w14:paraId="1B26A543" w14:textId="77777777">
        <w:trPr>
          <w:cantSplit/>
          <w:jc w:val="center"/>
        </w:trPr>
        <w:tc>
          <w:tcPr>
            <w:tcW w:w="4466" w:type="dxa"/>
            <w:vAlign w:val="center"/>
          </w:tcPr>
          <w:p w14:paraId="53970B43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lastRenderedPageBreak/>
              <w:t>Bebidas refrescantes com teor alcoólico abaixo de 8%</w:t>
            </w:r>
          </w:p>
          <w:p w14:paraId="6497F443" w14:textId="77777777" w:rsidR="00CF76D7" w:rsidRDefault="00000000">
            <w:pPr>
              <w:spacing w:after="0" w:line="240" w:lineRule="auto"/>
            </w:pPr>
            <w:r>
              <w:rPr>
                <w:color w:val="5A6372"/>
                <w:sz w:val="16"/>
                <w:szCs w:val="16"/>
              </w:rPr>
              <w:t>NCM 2208.90.00</w:t>
            </w:r>
          </w:p>
        </w:tc>
        <w:tc>
          <w:tcPr>
            <w:tcW w:w="1500" w:type="dxa"/>
            <w:vAlign w:val="center"/>
          </w:tcPr>
          <w:p w14:paraId="34828FE6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13%</w:t>
            </w:r>
          </w:p>
        </w:tc>
        <w:tc>
          <w:tcPr>
            <w:tcW w:w="1500" w:type="dxa"/>
            <w:vAlign w:val="center"/>
          </w:tcPr>
          <w:p w14:paraId="0FD73111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1,23</w:t>
            </w:r>
          </w:p>
        </w:tc>
        <w:tc>
          <w:tcPr>
            <w:tcW w:w="1500" w:type="dxa"/>
            <w:vAlign w:val="center"/>
          </w:tcPr>
          <w:p w14:paraId="4D8209BB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—</w:t>
            </w:r>
          </w:p>
        </w:tc>
        <w:tc>
          <w:tcPr>
            <w:tcW w:w="1500" w:type="dxa"/>
            <w:shd w:val="clear" w:color="auto" w:fill="F6F0E6"/>
            <w:vAlign w:val="center"/>
          </w:tcPr>
          <w:p w14:paraId="10BC1963" w14:textId="77777777" w:rsidR="00CF76D7" w:rsidRDefault="00000000">
            <w:pPr>
              <w:spacing w:after="0" w:line="240" w:lineRule="auto"/>
              <w:jc w:val="center"/>
            </w:pPr>
            <w:r>
              <w:rPr>
                <w:rFonts w:ascii="Georgia" w:hAnsi="Georgia" w:cs="Georgia"/>
                <w:b/>
                <w:bCs/>
                <w:color w:val="122543"/>
                <w:sz w:val="21"/>
                <w:szCs w:val="21"/>
              </w:rPr>
              <w:t>16,0%</w:t>
            </w:r>
          </w:p>
        </w:tc>
      </w:tr>
      <w:tr w:rsidR="00CF76D7" w14:paraId="7F1283AD" w14:textId="77777777">
        <w:trPr>
          <w:cantSplit/>
          <w:jc w:val="center"/>
        </w:trPr>
        <w:tc>
          <w:tcPr>
            <w:tcW w:w="4466" w:type="dxa"/>
            <w:shd w:val="clear" w:color="auto" w:fill="F3F5F8"/>
            <w:vAlign w:val="center"/>
          </w:tcPr>
          <w:p w14:paraId="349EBAF4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Rum e aguardentes de cana-de-açúcar</w:t>
            </w:r>
          </w:p>
          <w:p w14:paraId="487704A6" w14:textId="77777777" w:rsidR="00CF76D7" w:rsidRDefault="00000000">
            <w:pPr>
              <w:spacing w:after="0" w:line="240" w:lineRule="auto"/>
            </w:pPr>
            <w:r>
              <w:rPr>
                <w:color w:val="5A6372"/>
                <w:sz w:val="16"/>
                <w:szCs w:val="16"/>
              </w:rPr>
              <w:t>NCM 2208.40.00 (exceto as obtidas do melaço)</w:t>
            </w:r>
          </w:p>
        </w:tc>
        <w:tc>
          <w:tcPr>
            <w:tcW w:w="1500" w:type="dxa"/>
            <w:shd w:val="clear" w:color="auto" w:fill="F3F5F8"/>
            <w:vAlign w:val="center"/>
          </w:tcPr>
          <w:p w14:paraId="18FA1E43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16,25%</w:t>
            </w:r>
          </w:p>
        </w:tc>
        <w:tc>
          <w:tcPr>
            <w:tcW w:w="1500" w:type="dxa"/>
            <w:shd w:val="clear" w:color="auto" w:fill="F3F5F8"/>
            <w:vAlign w:val="center"/>
          </w:tcPr>
          <w:p w14:paraId="4E67AE88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1,23</w:t>
            </w:r>
          </w:p>
        </w:tc>
        <w:tc>
          <w:tcPr>
            <w:tcW w:w="1500" w:type="dxa"/>
            <w:shd w:val="clear" w:color="auto" w:fill="F3F5F8"/>
            <w:vAlign w:val="center"/>
          </w:tcPr>
          <w:p w14:paraId="7A9F681A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—</w:t>
            </w:r>
          </w:p>
        </w:tc>
        <w:tc>
          <w:tcPr>
            <w:tcW w:w="1500" w:type="dxa"/>
            <w:shd w:val="clear" w:color="auto" w:fill="F6F0E6"/>
            <w:vAlign w:val="center"/>
          </w:tcPr>
          <w:p w14:paraId="50699F56" w14:textId="77777777" w:rsidR="00CF76D7" w:rsidRDefault="00000000">
            <w:pPr>
              <w:spacing w:after="0" w:line="240" w:lineRule="auto"/>
              <w:jc w:val="center"/>
            </w:pPr>
            <w:r>
              <w:rPr>
                <w:rFonts w:ascii="Georgia" w:hAnsi="Georgia" w:cs="Georgia"/>
                <w:b/>
                <w:bCs/>
                <w:color w:val="122543"/>
                <w:sz w:val="21"/>
                <w:szCs w:val="21"/>
              </w:rPr>
              <w:t>20,0%</w:t>
            </w:r>
          </w:p>
        </w:tc>
      </w:tr>
      <w:tr w:rsidR="00CF76D7" w14:paraId="75816602" w14:textId="77777777">
        <w:trPr>
          <w:cantSplit/>
          <w:jc w:val="center"/>
        </w:trPr>
        <w:tc>
          <w:tcPr>
            <w:tcW w:w="4466" w:type="dxa"/>
            <w:vAlign w:val="center"/>
          </w:tcPr>
          <w:p w14:paraId="04527119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Demais bebidas alcoólicas da posição 22.08</w:t>
            </w:r>
          </w:p>
          <w:p w14:paraId="69C97943" w14:textId="77777777" w:rsidR="00CF76D7" w:rsidRDefault="00000000">
            <w:pPr>
              <w:spacing w:after="0" w:line="240" w:lineRule="auto"/>
            </w:pPr>
            <w:r>
              <w:rPr>
                <w:color w:val="5A6372"/>
                <w:sz w:val="16"/>
                <w:szCs w:val="16"/>
              </w:rPr>
              <w:t>Inclusive rum e aguardentes do melaço (2208.40.00)</w:t>
            </w:r>
          </w:p>
        </w:tc>
        <w:tc>
          <w:tcPr>
            <w:tcW w:w="1500" w:type="dxa"/>
            <w:vAlign w:val="center"/>
          </w:tcPr>
          <w:p w14:paraId="713DED7B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19,5%</w:t>
            </w:r>
          </w:p>
        </w:tc>
        <w:tc>
          <w:tcPr>
            <w:tcW w:w="1500" w:type="dxa"/>
            <w:vAlign w:val="center"/>
          </w:tcPr>
          <w:p w14:paraId="6FCC8855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1,23</w:t>
            </w:r>
          </w:p>
        </w:tc>
        <w:tc>
          <w:tcPr>
            <w:tcW w:w="1500" w:type="dxa"/>
            <w:vAlign w:val="center"/>
          </w:tcPr>
          <w:p w14:paraId="14972070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—</w:t>
            </w:r>
          </w:p>
        </w:tc>
        <w:tc>
          <w:tcPr>
            <w:tcW w:w="1500" w:type="dxa"/>
            <w:shd w:val="clear" w:color="auto" w:fill="F6F0E6"/>
            <w:vAlign w:val="center"/>
          </w:tcPr>
          <w:p w14:paraId="04C43066" w14:textId="77777777" w:rsidR="00CF76D7" w:rsidRDefault="00000000">
            <w:pPr>
              <w:spacing w:after="0" w:line="240" w:lineRule="auto"/>
              <w:jc w:val="center"/>
            </w:pPr>
            <w:r>
              <w:rPr>
                <w:rFonts w:ascii="Georgia" w:hAnsi="Georgia" w:cs="Georgia"/>
                <w:b/>
                <w:bCs/>
                <w:color w:val="122543"/>
                <w:sz w:val="21"/>
                <w:szCs w:val="21"/>
              </w:rPr>
              <w:t>24,0%</w:t>
            </w:r>
          </w:p>
        </w:tc>
      </w:tr>
      <w:tr w:rsidR="00CF76D7" w14:paraId="27A11BFB" w14:textId="77777777">
        <w:trPr>
          <w:cantSplit/>
          <w:jc w:val="center"/>
        </w:trPr>
        <w:tc>
          <w:tcPr>
            <w:tcW w:w="4466" w:type="dxa"/>
            <w:shd w:val="clear" w:color="auto" w:fill="F3F5F8"/>
            <w:vAlign w:val="center"/>
          </w:tcPr>
          <w:p w14:paraId="00335A55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Cigarros e cigarrilhas</w:t>
            </w:r>
          </w:p>
          <w:p w14:paraId="4D1D2F3E" w14:textId="77777777" w:rsidR="00CF76D7" w:rsidRDefault="00000000">
            <w:pPr>
              <w:spacing w:after="0" w:line="240" w:lineRule="auto"/>
            </w:pPr>
            <w:r>
              <w:rPr>
                <w:color w:val="5A6372"/>
                <w:sz w:val="16"/>
                <w:szCs w:val="16"/>
              </w:rPr>
              <w:t>Art. 3º, § 1º, II (2402.20.00, exceto Ex 01; Ex 01 do 2402.10.00)</w:t>
            </w:r>
          </w:p>
        </w:tc>
        <w:tc>
          <w:tcPr>
            <w:tcW w:w="1500" w:type="dxa"/>
            <w:shd w:val="clear" w:color="auto" w:fill="F3F5F8"/>
            <w:vAlign w:val="center"/>
          </w:tcPr>
          <w:p w14:paraId="73AA387C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66,7%</w:t>
            </w:r>
          </w:p>
        </w:tc>
        <w:tc>
          <w:tcPr>
            <w:tcW w:w="1500" w:type="dxa"/>
            <w:shd w:val="clear" w:color="auto" w:fill="F3F5F8"/>
            <w:vAlign w:val="center"/>
          </w:tcPr>
          <w:p w14:paraId="6445E8E7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1,00</w:t>
            </w:r>
          </w:p>
        </w:tc>
        <w:tc>
          <w:tcPr>
            <w:tcW w:w="1500" w:type="dxa"/>
            <w:shd w:val="clear" w:color="auto" w:fill="F3F5F8"/>
            <w:vAlign w:val="center"/>
          </w:tcPr>
          <w:p w14:paraId="6904C97F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R$ 3,50</w:t>
            </w:r>
          </w:p>
        </w:tc>
        <w:tc>
          <w:tcPr>
            <w:tcW w:w="1500" w:type="dxa"/>
            <w:shd w:val="clear" w:color="auto" w:fill="F6F0E6"/>
            <w:vAlign w:val="center"/>
          </w:tcPr>
          <w:p w14:paraId="77B2F655" w14:textId="77777777" w:rsidR="00CF76D7" w:rsidRDefault="00000000">
            <w:pPr>
              <w:spacing w:after="0" w:line="240" w:lineRule="auto"/>
              <w:jc w:val="center"/>
            </w:pPr>
            <w:r>
              <w:rPr>
                <w:rFonts w:ascii="Georgia" w:hAnsi="Georgia" w:cs="Georgia"/>
                <w:b/>
                <w:bCs/>
                <w:color w:val="122543"/>
                <w:sz w:val="21"/>
                <w:szCs w:val="21"/>
              </w:rPr>
              <w:t>66,7% + R$ 3,50</w:t>
            </w:r>
          </w:p>
        </w:tc>
      </w:tr>
      <w:tr w:rsidR="00CF76D7" w14:paraId="38D3BC5C" w14:textId="77777777">
        <w:trPr>
          <w:cantSplit/>
          <w:jc w:val="center"/>
        </w:trPr>
        <w:tc>
          <w:tcPr>
            <w:tcW w:w="4466" w:type="dxa"/>
            <w:vAlign w:val="center"/>
          </w:tcPr>
          <w:p w14:paraId="6ABB44D2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Demais produtos fumígenos</w:t>
            </w:r>
          </w:p>
          <w:p w14:paraId="2D4C27EC" w14:textId="77777777" w:rsidR="00CF76D7" w:rsidRDefault="00000000">
            <w:pPr>
              <w:spacing w:after="0" w:line="240" w:lineRule="auto"/>
            </w:pPr>
            <w:r>
              <w:rPr>
                <w:color w:val="5A6372"/>
                <w:sz w:val="16"/>
                <w:szCs w:val="16"/>
              </w:rPr>
              <w:t>Posições 24.01 a 24.04</w:t>
            </w:r>
          </w:p>
        </w:tc>
        <w:tc>
          <w:tcPr>
            <w:tcW w:w="1500" w:type="dxa"/>
            <w:vAlign w:val="center"/>
          </w:tcPr>
          <w:p w14:paraId="5DA45755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30%</w:t>
            </w:r>
          </w:p>
        </w:tc>
        <w:tc>
          <w:tcPr>
            <w:tcW w:w="1500" w:type="dxa"/>
            <w:vAlign w:val="center"/>
          </w:tcPr>
          <w:p w14:paraId="04B7467A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1,25</w:t>
            </w:r>
          </w:p>
        </w:tc>
        <w:tc>
          <w:tcPr>
            <w:tcW w:w="1500" w:type="dxa"/>
            <w:vAlign w:val="center"/>
          </w:tcPr>
          <w:p w14:paraId="06176DB2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—</w:t>
            </w:r>
          </w:p>
        </w:tc>
        <w:tc>
          <w:tcPr>
            <w:tcW w:w="1500" w:type="dxa"/>
            <w:shd w:val="clear" w:color="auto" w:fill="F6F0E6"/>
            <w:vAlign w:val="center"/>
          </w:tcPr>
          <w:p w14:paraId="4BD8020E" w14:textId="77777777" w:rsidR="00CF76D7" w:rsidRDefault="00000000">
            <w:pPr>
              <w:spacing w:after="0" w:line="240" w:lineRule="auto"/>
              <w:jc w:val="center"/>
            </w:pPr>
            <w:r>
              <w:rPr>
                <w:rFonts w:ascii="Georgia" w:hAnsi="Georgia" w:cs="Georgia"/>
                <w:b/>
                <w:bCs/>
                <w:color w:val="122543"/>
                <w:sz w:val="21"/>
                <w:szCs w:val="21"/>
              </w:rPr>
              <w:t>37,5%</w:t>
            </w:r>
          </w:p>
        </w:tc>
      </w:tr>
    </w:tbl>
    <w:p w14:paraId="2DEDF721" w14:textId="77777777" w:rsidR="00CF76D7" w:rsidRDefault="00CF76D7">
      <w:pPr>
        <w:spacing w:after="100" w:line="240" w:lineRule="auto"/>
        <w:jc w:val="both"/>
        <w:rPr>
          <w:sz w:val="4"/>
        </w:rPr>
      </w:pPr>
    </w:p>
    <w:p w14:paraId="1D2E816F" w14:textId="77777777" w:rsidR="00CF76D7" w:rsidRDefault="00000000">
      <w:pPr>
        <w:numPr>
          <w:ilvl w:val="0"/>
          <w:numId w:val="5"/>
        </w:numPr>
        <w:spacing w:after="60" w:line="250" w:lineRule="auto"/>
        <w:jc w:val="both"/>
      </w:pPr>
      <w:r>
        <w:rPr>
          <w:b/>
          <w:bCs/>
          <w:color w:val="222222"/>
          <w:sz w:val="20"/>
          <w:szCs w:val="20"/>
        </w:rPr>
        <w:t>Alíquotas específicas zeradas até 31/12/2027:</w:t>
      </w:r>
      <w:r>
        <w:rPr>
          <w:color w:val="222222"/>
          <w:sz w:val="20"/>
          <w:szCs w:val="20"/>
        </w:rPr>
        <w:t xml:space="preserve"> para bebidas alcoólicas e demais fumígenos, só se aplica a parcela percentual (ad valorem) — a exceção são cigarros e cigarrilhas, que mantêm a parcela específica (art. 6º, II).</w:t>
      </w:r>
    </w:p>
    <w:p w14:paraId="1C284E00" w14:textId="77777777" w:rsidR="00CF76D7" w:rsidRDefault="00000000">
      <w:pPr>
        <w:numPr>
          <w:ilvl w:val="0"/>
          <w:numId w:val="5"/>
        </w:numPr>
        <w:spacing w:after="60" w:line="250" w:lineRule="auto"/>
        <w:jc w:val="both"/>
      </w:pPr>
      <w:r>
        <w:rPr>
          <w:b/>
          <w:bCs/>
          <w:color w:val="222222"/>
          <w:sz w:val="20"/>
          <w:szCs w:val="20"/>
        </w:rPr>
        <w:t>Valor de referência dos fumígenos (até 31/12/2027):</w:t>
      </w:r>
      <w:r>
        <w:rPr>
          <w:color w:val="222222"/>
          <w:sz w:val="20"/>
          <w:szCs w:val="20"/>
        </w:rPr>
        <w:t xml:space="preserve"> 15% sobre o preço de venda a varejo, quando tabelado; sem preço tabelado, o valor líquido de venda (sem ICMS, CBS e IBS) na primeira operação entre partes não relacionadas (art. 6º, I).</w:t>
      </w:r>
    </w:p>
    <w:p w14:paraId="51452533" w14:textId="77777777" w:rsidR="00CF76D7" w:rsidRDefault="00000000">
      <w:pPr>
        <w:numPr>
          <w:ilvl w:val="0"/>
          <w:numId w:val="5"/>
        </w:numPr>
        <w:spacing w:after="60" w:line="250" w:lineRule="auto"/>
        <w:jc w:val="both"/>
      </w:pPr>
      <w:r>
        <w:rPr>
          <w:b/>
          <w:bCs/>
          <w:color w:val="222222"/>
          <w:sz w:val="20"/>
          <w:szCs w:val="20"/>
        </w:rPr>
        <w:t>Pequenos produtores de bebidas alcoólicas</w:t>
      </w:r>
      <w:r>
        <w:rPr>
          <w:color w:val="222222"/>
          <w:sz w:val="20"/>
          <w:szCs w:val="20"/>
        </w:rPr>
        <w:t xml:space="preserve"> (cervejarias, vinícolas, produtores de licores e destilarias com fornecimento inferior a 250 mil litros de álcool no ano anterior): redução da alíquota ad valorem de </w:t>
      </w:r>
      <w:r>
        <w:rPr>
          <w:b/>
          <w:bCs/>
          <w:color w:val="222222"/>
          <w:sz w:val="20"/>
          <w:szCs w:val="20"/>
        </w:rPr>
        <w:t>40%</w:t>
      </w:r>
      <w:r>
        <w:rPr>
          <w:color w:val="222222"/>
          <w:sz w:val="20"/>
          <w:szCs w:val="20"/>
        </w:rPr>
        <w:t xml:space="preserve"> (até 50 mil litros), </w:t>
      </w:r>
      <w:r>
        <w:rPr>
          <w:b/>
          <w:bCs/>
          <w:color w:val="222222"/>
          <w:sz w:val="20"/>
          <w:szCs w:val="20"/>
        </w:rPr>
        <w:t>20%</w:t>
      </w:r>
      <w:r>
        <w:rPr>
          <w:color w:val="222222"/>
          <w:sz w:val="20"/>
          <w:szCs w:val="20"/>
        </w:rPr>
        <w:t xml:space="preserve"> (acima de 50 mil até 125 mil) ou </w:t>
      </w:r>
      <w:r>
        <w:rPr>
          <w:b/>
          <w:bCs/>
          <w:color w:val="222222"/>
          <w:sz w:val="20"/>
          <w:szCs w:val="20"/>
        </w:rPr>
        <w:t>10%</w:t>
      </w:r>
      <w:r>
        <w:rPr>
          <w:color w:val="222222"/>
          <w:sz w:val="20"/>
          <w:szCs w:val="20"/>
        </w:rPr>
        <w:t xml:space="preserve"> (acima de 125 mil até 250 mil) — art. 6º, IV, e Anexo VI.</w:t>
      </w:r>
    </w:p>
    <w:p w14:paraId="64B0EF24" w14:textId="77777777" w:rsidR="00CF76D7" w:rsidRDefault="00000000">
      <w:pPr>
        <w:numPr>
          <w:ilvl w:val="0"/>
          <w:numId w:val="5"/>
        </w:numPr>
        <w:spacing w:after="60" w:line="250" w:lineRule="auto"/>
        <w:jc w:val="both"/>
      </w:pPr>
      <w:r>
        <w:rPr>
          <w:color w:val="222222"/>
          <w:sz w:val="20"/>
          <w:szCs w:val="20"/>
        </w:rPr>
        <w:t xml:space="preserve">Continua aplicável o </w:t>
      </w:r>
      <w:r>
        <w:rPr>
          <w:b/>
          <w:bCs/>
          <w:color w:val="222222"/>
          <w:sz w:val="20"/>
          <w:szCs w:val="20"/>
        </w:rPr>
        <w:t>preço mínimo de venda no varejo de cigarros</w:t>
      </w:r>
      <w:r>
        <w:rPr>
          <w:color w:val="222222"/>
          <w:sz w:val="20"/>
          <w:szCs w:val="20"/>
        </w:rPr>
        <w:t xml:space="preserve"> (art. 220-A do Decreto nº 7.212/2010), conforme o art. 17 da MP.</w:t>
      </w:r>
    </w:p>
    <w:p w14:paraId="72D31B35" w14:textId="77777777" w:rsidR="00CF76D7" w:rsidRDefault="00000000">
      <w:pPr>
        <w:keepNext/>
        <w:pBdr>
          <w:bottom w:val="single" w:sz="8" w:space="3" w:color="B08D57"/>
        </w:pBdr>
        <w:spacing w:before="200" w:after="120" w:line="250" w:lineRule="auto"/>
      </w:pPr>
      <w:r>
        <w:rPr>
          <w:rFonts w:ascii="Georgia" w:hAnsi="Georgia" w:cs="Georgia"/>
          <w:b/>
          <w:bCs/>
          <w:color w:val="B08D57"/>
          <w:sz w:val="24"/>
          <w:szCs w:val="24"/>
        </w:rPr>
        <w:t xml:space="preserve">03  </w:t>
      </w:r>
      <w:r>
        <w:rPr>
          <w:rFonts w:ascii="Georgia" w:hAnsi="Georgia" w:cs="Georgia"/>
          <w:b/>
          <w:bCs/>
          <w:color w:val="122543"/>
          <w:sz w:val="24"/>
          <w:szCs w:val="24"/>
        </w:rPr>
        <w:t>Veículos (Anexos I, II, III e V)</w:t>
      </w:r>
    </w:p>
    <w:p w14:paraId="27C7A602" w14:textId="77777777" w:rsidR="00CF76D7" w:rsidRDefault="00000000">
      <w:pPr>
        <w:spacing w:after="120" w:line="250" w:lineRule="auto"/>
        <w:jc w:val="both"/>
      </w:pPr>
      <w:r>
        <w:rPr>
          <w:color w:val="222222"/>
          <w:sz w:val="21"/>
          <w:szCs w:val="21"/>
        </w:rPr>
        <w:t xml:space="preserve">Para veículos, a alíquota final é obtida em duas etapas: </w:t>
      </w:r>
      <w:r>
        <w:rPr>
          <w:b/>
          <w:bCs/>
          <w:color w:val="222222"/>
          <w:sz w:val="21"/>
          <w:szCs w:val="21"/>
        </w:rPr>
        <w:t>(alíquota-base + ajustes de sustentabilidade) × fator de conversão de 1,21</w:t>
      </w:r>
      <w:r>
        <w:rPr>
          <w:color w:val="222222"/>
          <w:sz w:val="21"/>
          <w:szCs w:val="21"/>
        </w:rPr>
        <w:t>.</w:t>
      </w:r>
    </w:p>
    <w:tbl>
      <w:tblPr>
        <w:tblW w:w="10466" w:type="dxa"/>
        <w:jc w:val="center"/>
        <w:tblBorders>
          <w:top w:val="single" w:sz="4" w:space="0" w:color="D5DAE2"/>
          <w:left w:val="nil"/>
          <w:bottom w:val="single" w:sz="4" w:space="0" w:color="D5DAE2"/>
          <w:right w:val="nil"/>
          <w:insideH w:val="single" w:sz="4" w:space="0" w:color="D5DAE2"/>
          <w:insideV w:val="single" w:sz="4" w:space="0" w:color="D5DAE2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  <w:tblLook w:val="04A0" w:firstRow="1" w:lastRow="0" w:firstColumn="1" w:lastColumn="0" w:noHBand="0" w:noVBand="1"/>
      </w:tblPr>
      <w:tblGrid>
        <w:gridCol w:w="4266"/>
        <w:gridCol w:w="1700"/>
        <w:gridCol w:w="1300"/>
        <w:gridCol w:w="3200"/>
      </w:tblGrid>
      <w:tr w:rsidR="00CF76D7" w14:paraId="1F647A16" w14:textId="77777777">
        <w:trPr>
          <w:cantSplit/>
          <w:tblHeader/>
          <w:jc w:val="center"/>
        </w:trPr>
        <w:tc>
          <w:tcPr>
            <w:tcW w:w="4266" w:type="dxa"/>
            <w:shd w:val="clear" w:color="auto" w:fill="122543"/>
            <w:vAlign w:val="center"/>
          </w:tcPr>
          <w:p w14:paraId="313867FB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Classificação NCM</w:t>
            </w:r>
          </w:p>
        </w:tc>
        <w:tc>
          <w:tcPr>
            <w:tcW w:w="1700" w:type="dxa"/>
            <w:shd w:val="clear" w:color="auto" w:fill="122543"/>
            <w:vAlign w:val="center"/>
          </w:tcPr>
          <w:p w14:paraId="5BF9C613" w14:textId="77777777" w:rsidR="00CF76D7" w:rsidRDefault="00000000">
            <w:pPr>
              <w:spacing w:after="0"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Alíquota-base</w:t>
            </w:r>
          </w:p>
        </w:tc>
        <w:tc>
          <w:tcPr>
            <w:tcW w:w="1300" w:type="dxa"/>
            <w:shd w:val="clear" w:color="auto" w:fill="122543"/>
            <w:vAlign w:val="center"/>
          </w:tcPr>
          <w:p w14:paraId="1830A218" w14:textId="77777777" w:rsidR="00CF76D7" w:rsidRDefault="00000000">
            <w:pPr>
              <w:spacing w:after="0"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Fator</w:t>
            </w:r>
          </w:p>
        </w:tc>
        <w:tc>
          <w:tcPr>
            <w:tcW w:w="3200" w:type="dxa"/>
            <w:shd w:val="clear" w:color="auto" w:fill="122543"/>
            <w:vAlign w:val="center"/>
          </w:tcPr>
          <w:p w14:paraId="1CC7285F" w14:textId="77777777" w:rsidR="00CF76D7" w:rsidRDefault="00000000">
            <w:pPr>
              <w:spacing w:after="0"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Fórmula da alíquota final</w:t>
            </w:r>
          </w:p>
        </w:tc>
      </w:tr>
      <w:tr w:rsidR="00CF76D7" w14:paraId="4A22A47B" w14:textId="77777777">
        <w:trPr>
          <w:cantSplit/>
          <w:jc w:val="center"/>
        </w:trPr>
        <w:tc>
          <w:tcPr>
            <w:tcW w:w="4266" w:type="dxa"/>
            <w:vAlign w:val="center"/>
          </w:tcPr>
          <w:p w14:paraId="6CAC72F5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Automóveis</w:t>
            </w:r>
          </w:p>
          <w:p w14:paraId="2EC32075" w14:textId="77777777" w:rsidR="00CF76D7" w:rsidRDefault="00000000">
            <w:pPr>
              <w:spacing w:after="0" w:line="240" w:lineRule="auto"/>
            </w:pPr>
            <w:r>
              <w:rPr>
                <w:color w:val="5A6372"/>
                <w:sz w:val="16"/>
                <w:szCs w:val="16"/>
              </w:rPr>
              <w:t>Posição 87.03</w:t>
            </w:r>
          </w:p>
        </w:tc>
        <w:tc>
          <w:tcPr>
            <w:tcW w:w="1700" w:type="dxa"/>
            <w:vAlign w:val="center"/>
          </w:tcPr>
          <w:p w14:paraId="0EC1014C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6,3%</w:t>
            </w:r>
          </w:p>
        </w:tc>
        <w:tc>
          <w:tcPr>
            <w:tcW w:w="1300" w:type="dxa"/>
            <w:vAlign w:val="center"/>
          </w:tcPr>
          <w:p w14:paraId="1D5B7D74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1,21</w:t>
            </w:r>
          </w:p>
        </w:tc>
        <w:tc>
          <w:tcPr>
            <w:tcW w:w="3200" w:type="dxa"/>
            <w:vAlign w:val="center"/>
          </w:tcPr>
          <w:p w14:paraId="59E8917F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(6,3% + ajustes) × 1,21</w:t>
            </w:r>
          </w:p>
        </w:tc>
      </w:tr>
      <w:tr w:rsidR="00CF76D7" w14:paraId="79838AFC" w14:textId="77777777">
        <w:trPr>
          <w:cantSplit/>
          <w:jc w:val="center"/>
        </w:trPr>
        <w:tc>
          <w:tcPr>
            <w:tcW w:w="4266" w:type="dxa"/>
            <w:vAlign w:val="center"/>
          </w:tcPr>
          <w:p w14:paraId="2E0CD961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Veículos de carga especificados</w:t>
            </w:r>
          </w:p>
          <w:p w14:paraId="3DFC17C9" w14:textId="77777777" w:rsidR="00CF76D7" w:rsidRDefault="00000000">
            <w:pPr>
              <w:spacing w:after="0" w:line="240" w:lineRule="auto"/>
            </w:pPr>
            <w:r>
              <w:rPr>
                <w:color w:val="5A6372"/>
                <w:sz w:val="16"/>
                <w:szCs w:val="16"/>
              </w:rPr>
              <w:t>8704.21, 8704.31, 8704.41.00, 8704.51.00, 8704.60.00 e 8704.90.00</w:t>
            </w:r>
          </w:p>
        </w:tc>
        <w:tc>
          <w:tcPr>
            <w:tcW w:w="1700" w:type="dxa"/>
            <w:vAlign w:val="center"/>
          </w:tcPr>
          <w:p w14:paraId="0B2940AE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3,9%</w:t>
            </w:r>
          </w:p>
        </w:tc>
        <w:tc>
          <w:tcPr>
            <w:tcW w:w="1300" w:type="dxa"/>
            <w:vAlign w:val="center"/>
          </w:tcPr>
          <w:p w14:paraId="48A311B3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1,21</w:t>
            </w:r>
          </w:p>
        </w:tc>
        <w:tc>
          <w:tcPr>
            <w:tcW w:w="3200" w:type="dxa"/>
            <w:vAlign w:val="center"/>
          </w:tcPr>
          <w:p w14:paraId="32EAEC99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(3,9% + ajustes) × 1,21</w:t>
            </w:r>
          </w:p>
        </w:tc>
      </w:tr>
    </w:tbl>
    <w:p w14:paraId="4677EAD8" w14:textId="77777777" w:rsidR="00CF76D7" w:rsidRDefault="00CF76D7">
      <w:pPr>
        <w:spacing w:after="140" w:line="240" w:lineRule="auto"/>
        <w:jc w:val="both"/>
        <w:rPr>
          <w:sz w:val="4"/>
        </w:rPr>
      </w:pPr>
    </w:p>
    <w:p w14:paraId="01793FB5" w14:textId="77777777" w:rsidR="00CF76D7" w:rsidRDefault="00000000">
      <w:pPr>
        <w:keepNext/>
        <w:spacing w:after="80" w:line="250" w:lineRule="auto"/>
      </w:pPr>
      <w:r>
        <w:rPr>
          <w:b/>
          <w:bCs/>
          <w:color w:val="122543"/>
          <w:sz w:val="19"/>
          <w:szCs w:val="19"/>
        </w:rPr>
        <w:t>Ajustes de sustentabilidade, em pontos percentuais</w:t>
      </w:r>
    </w:p>
    <w:tbl>
      <w:tblPr>
        <w:tblW w:w="10466" w:type="dxa"/>
        <w:jc w:val="center"/>
        <w:tblBorders>
          <w:top w:val="single" w:sz="4" w:space="0" w:color="D5DAE2"/>
          <w:left w:val="nil"/>
          <w:bottom w:val="single" w:sz="4" w:space="0" w:color="D5DAE2"/>
          <w:right w:val="nil"/>
          <w:insideH w:val="single" w:sz="4" w:space="0" w:color="D5DAE2"/>
          <w:insideV w:val="single" w:sz="4" w:space="0" w:color="D5DAE2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  <w:tblLook w:val="04A0" w:firstRow="1" w:lastRow="0" w:firstColumn="1" w:lastColumn="0" w:noHBand="0" w:noVBand="1"/>
      </w:tblPr>
      <w:tblGrid>
        <w:gridCol w:w="4066"/>
        <w:gridCol w:w="3200"/>
        <w:gridCol w:w="3200"/>
      </w:tblGrid>
      <w:tr w:rsidR="00CF76D7" w14:paraId="531880E9" w14:textId="77777777">
        <w:trPr>
          <w:cantSplit/>
          <w:tblHeader/>
          <w:jc w:val="center"/>
        </w:trPr>
        <w:tc>
          <w:tcPr>
            <w:tcW w:w="4066" w:type="dxa"/>
            <w:shd w:val="clear" w:color="auto" w:fill="122543"/>
            <w:vAlign w:val="center"/>
          </w:tcPr>
          <w:p w14:paraId="238DB110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Critério</w:t>
            </w:r>
          </w:p>
        </w:tc>
        <w:tc>
          <w:tcPr>
            <w:tcW w:w="3200" w:type="dxa"/>
            <w:shd w:val="clear" w:color="auto" w:fill="122543"/>
            <w:vAlign w:val="center"/>
          </w:tcPr>
          <w:p w14:paraId="0DCE7009" w14:textId="77777777" w:rsidR="00CF76D7" w:rsidRDefault="00000000">
            <w:pPr>
              <w:spacing w:after="0"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Automóveis (87.03)</w:t>
            </w:r>
          </w:p>
        </w:tc>
        <w:tc>
          <w:tcPr>
            <w:tcW w:w="3200" w:type="dxa"/>
            <w:shd w:val="clear" w:color="auto" w:fill="122543"/>
            <w:vAlign w:val="center"/>
          </w:tcPr>
          <w:p w14:paraId="43ACB13E" w14:textId="77777777" w:rsidR="00CF76D7" w:rsidRDefault="00000000">
            <w:pPr>
              <w:spacing w:after="0"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Veículos de carga (87.04)</w:t>
            </w:r>
          </w:p>
        </w:tc>
      </w:tr>
      <w:tr w:rsidR="00CF76D7" w14:paraId="08ED44EB" w14:textId="77777777">
        <w:trPr>
          <w:cantSplit/>
          <w:jc w:val="center"/>
        </w:trPr>
        <w:tc>
          <w:tcPr>
            <w:tcW w:w="4066" w:type="dxa"/>
            <w:vAlign w:val="center"/>
          </w:tcPr>
          <w:p w14:paraId="6E1643A8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Fonte de energia e tecnologia de propulsão</w:t>
            </w:r>
          </w:p>
          <w:p w14:paraId="672E7C24" w14:textId="77777777" w:rsidR="00CF76D7" w:rsidRDefault="00000000">
            <w:pPr>
              <w:spacing w:after="0" w:line="240" w:lineRule="auto"/>
            </w:pPr>
            <w:r>
              <w:rPr>
                <w:color w:val="5A6372"/>
                <w:sz w:val="16"/>
                <w:szCs w:val="16"/>
              </w:rPr>
              <w:t>Do elétrico ao diesel</w:t>
            </w:r>
          </w:p>
        </w:tc>
        <w:tc>
          <w:tcPr>
            <w:tcW w:w="3200" w:type="dxa"/>
            <w:vAlign w:val="center"/>
          </w:tcPr>
          <w:p w14:paraId="7D5D5182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de −2,0 (elétrico) a +12,0 (diesel)</w:t>
            </w:r>
          </w:p>
        </w:tc>
        <w:tc>
          <w:tcPr>
            <w:tcW w:w="3200" w:type="dxa"/>
            <w:vAlign w:val="center"/>
          </w:tcPr>
          <w:p w14:paraId="000CDFAB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de −2,0 (elétrico) a +2,5 (diesel)</w:t>
            </w:r>
          </w:p>
        </w:tc>
      </w:tr>
      <w:tr w:rsidR="00CF76D7" w14:paraId="44E9E819" w14:textId="77777777">
        <w:trPr>
          <w:cantSplit/>
          <w:jc w:val="center"/>
        </w:trPr>
        <w:tc>
          <w:tcPr>
            <w:tcW w:w="4066" w:type="dxa"/>
            <w:shd w:val="clear" w:color="auto" w:fill="F3F5F8"/>
            <w:vAlign w:val="center"/>
          </w:tcPr>
          <w:p w14:paraId="11799BC8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Eficiência energética</w:t>
            </w:r>
          </w:p>
        </w:tc>
        <w:tc>
          <w:tcPr>
            <w:tcW w:w="3200" w:type="dxa"/>
            <w:shd w:val="clear" w:color="auto" w:fill="F3F5F8"/>
            <w:vAlign w:val="center"/>
          </w:tcPr>
          <w:p w14:paraId="0159EF77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−2,0 / −1,0 / 0,0</w:t>
            </w:r>
          </w:p>
        </w:tc>
        <w:tc>
          <w:tcPr>
            <w:tcW w:w="3200" w:type="dxa"/>
            <w:shd w:val="clear" w:color="auto" w:fill="F3F5F8"/>
            <w:vAlign w:val="center"/>
          </w:tcPr>
          <w:p w14:paraId="7244652A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−2,0 / −1,0 / 0,0</w:t>
            </w:r>
          </w:p>
        </w:tc>
      </w:tr>
      <w:tr w:rsidR="00CF76D7" w14:paraId="738771AF" w14:textId="77777777">
        <w:trPr>
          <w:cantSplit/>
          <w:jc w:val="center"/>
        </w:trPr>
        <w:tc>
          <w:tcPr>
            <w:tcW w:w="4066" w:type="dxa"/>
            <w:vAlign w:val="center"/>
          </w:tcPr>
          <w:p w14:paraId="5C79F334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Potência do sistema de propulsão (kW)</w:t>
            </w:r>
          </w:p>
        </w:tc>
        <w:tc>
          <w:tcPr>
            <w:tcW w:w="3200" w:type="dxa"/>
            <w:vAlign w:val="center"/>
          </w:tcPr>
          <w:p w14:paraId="4D73EFDA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de −2,15 (até 55 kW) a +6,50 (acima de 290 kW)</w:t>
            </w:r>
          </w:p>
        </w:tc>
        <w:tc>
          <w:tcPr>
            <w:tcW w:w="3200" w:type="dxa"/>
            <w:vAlign w:val="center"/>
          </w:tcPr>
          <w:p w14:paraId="73C54F7D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de −0,25 (até 85 kW) a +3,0 (acima de 290 kW)</w:t>
            </w:r>
          </w:p>
        </w:tc>
      </w:tr>
      <w:tr w:rsidR="00CF76D7" w14:paraId="478FAFE5" w14:textId="77777777">
        <w:trPr>
          <w:cantSplit/>
          <w:jc w:val="center"/>
        </w:trPr>
        <w:tc>
          <w:tcPr>
            <w:tcW w:w="4066" w:type="dxa"/>
            <w:shd w:val="clear" w:color="auto" w:fill="F3F5F8"/>
            <w:vAlign w:val="center"/>
          </w:tcPr>
          <w:p w14:paraId="2E212968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Desempenho estrutural e tecnologias assistivas à direção</w:t>
            </w:r>
          </w:p>
        </w:tc>
        <w:tc>
          <w:tcPr>
            <w:tcW w:w="3200" w:type="dxa"/>
            <w:shd w:val="clear" w:color="auto" w:fill="F3F5F8"/>
            <w:vAlign w:val="center"/>
          </w:tcPr>
          <w:p w14:paraId="493E44BC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−1,0 (se atendido) / 0,0</w:t>
            </w:r>
          </w:p>
        </w:tc>
        <w:tc>
          <w:tcPr>
            <w:tcW w:w="3200" w:type="dxa"/>
            <w:shd w:val="clear" w:color="auto" w:fill="F3F5F8"/>
            <w:vAlign w:val="center"/>
          </w:tcPr>
          <w:p w14:paraId="74DFC4D9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−1,0 (se atendido) / 0,0</w:t>
            </w:r>
          </w:p>
        </w:tc>
      </w:tr>
      <w:tr w:rsidR="00CF76D7" w14:paraId="3862AB3B" w14:textId="77777777">
        <w:trPr>
          <w:cantSplit/>
          <w:jc w:val="center"/>
        </w:trPr>
        <w:tc>
          <w:tcPr>
            <w:tcW w:w="4066" w:type="dxa"/>
            <w:vAlign w:val="center"/>
          </w:tcPr>
          <w:p w14:paraId="6E5BAFCB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Reciclabilidade veicular</w:t>
            </w:r>
          </w:p>
        </w:tc>
        <w:tc>
          <w:tcPr>
            <w:tcW w:w="3200" w:type="dxa"/>
            <w:vAlign w:val="center"/>
          </w:tcPr>
          <w:p w14:paraId="4E73E326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−2,0 / −1,0 / 0,0</w:t>
            </w:r>
          </w:p>
        </w:tc>
        <w:tc>
          <w:tcPr>
            <w:tcW w:w="3200" w:type="dxa"/>
            <w:vAlign w:val="center"/>
          </w:tcPr>
          <w:p w14:paraId="4EDE11EE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−2,0 / −1,0 / 0,0</w:t>
            </w:r>
          </w:p>
        </w:tc>
      </w:tr>
    </w:tbl>
    <w:p w14:paraId="3C4FD31F" w14:textId="77777777" w:rsidR="00CF76D7" w:rsidRDefault="00CF76D7">
      <w:pPr>
        <w:spacing w:after="140" w:line="240" w:lineRule="auto"/>
        <w:jc w:val="both"/>
        <w:rPr>
          <w:sz w:val="4"/>
        </w:rPr>
      </w:pPr>
    </w:p>
    <w:p w14:paraId="5D631A30" w14:textId="77777777" w:rsidR="00CF76D7" w:rsidRDefault="00000000">
      <w:pPr>
        <w:keepNext/>
        <w:spacing w:after="80" w:line="250" w:lineRule="auto"/>
      </w:pPr>
      <w:r>
        <w:rPr>
          <w:b/>
          <w:bCs/>
          <w:color w:val="122543"/>
          <w:sz w:val="19"/>
          <w:szCs w:val="19"/>
        </w:rPr>
        <w:lastRenderedPageBreak/>
        <w:t>Exemplos de cálculo — automóveis (87.03)</w:t>
      </w:r>
    </w:p>
    <w:tbl>
      <w:tblPr>
        <w:tblW w:w="1046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40" w:type="dxa"/>
          <w:left w:w="180" w:type="dxa"/>
          <w:bottom w:w="140" w:type="dxa"/>
          <w:right w:w="180" w:type="dxa"/>
        </w:tblCellMar>
        <w:tblLook w:val="04A0" w:firstRow="1" w:lastRow="0" w:firstColumn="1" w:lastColumn="0" w:noHBand="0" w:noVBand="1"/>
      </w:tblPr>
      <w:tblGrid>
        <w:gridCol w:w="3489"/>
        <w:gridCol w:w="3489"/>
        <w:gridCol w:w="3488"/>
      </w:tblGrid>
      <w:tr w:rsidR="00CF76D7" w14:paraId="7254C73D" w14:textId="77777777">
        <w:trPr>
          <w:cantSplit/>
          <w:jc w:val="center"/>
        </w:trPr>
        <w:tc>
          <w:tcPr>
            <w:tcW w:w="3489" w:type="dxa"/>
            <w:tcBorders>
              <w:top w:val="nil"/>
              <w:left w:val="single" w:sz="24" w:space="0" w:color="B08D57"/>
              <w:bottom w:val="nil"/>
              <w:right w:val="single" w:sz="4" w:space="0" w:color="FFFFFF"/>
            </w:tcBorders>
            <w:shd w:val="clear" w:color="auto" w:fill="F6F0E6"/>
          </w:tcPr>
          <w:p w14:paraId="3DF079AE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Automóvel flex, 80 kW</w:t>
            </w:r>
          </w:p>
          <w:p w14:paraId="4D78E4AC" w14:textId="77777777" w:rsidR="00CF76D7" w:rsidRDefault="00000000">
            <w:pPr>
              <w:spacing w:before="20" w:after="0" w:line="240" w:lineRule="auto"/>
            </w:pPr>
            <w:r>
              <w:rPr>
                <w:color w:val="5A6372"/>
                <w:sz w:val="16"/>
                <w:szCs w:val="16"/>
              </w:rPr>
              <w:t>sem outros ajustes</w:t>
            </w:r>
          </w:p>
          <w:p w14:paraId="31E979DF" w14:textId="77777777" w:rsidR="00CF76D7" w:rsidRDefault="00000000">
            <w:pPr>
              <w:spacing w:before="80" w:after="0" w:line="240" w:lineRule="auto"/>
            </w:pPr>
            <w:r>
              <w:rPr>
                <w:color w:val="222222"/>
                <w:sz w:val="18"/>
                <w:szCs w:val="18"/>
              </w:rPr>
              <w:t>(6,3% + 0,0) × 1,21</w:t>
            </w:r>
          </w:p>
          <w:p w14:paraId="64F51C41" w14:textId="77777777" w:rsidR="00CF76D7" w:rsidRDefault="00000000">
            <w:pPr>
              <w:spacing w:before="40" w:after="0" w:line="240" w:lineRule="auto"/>
            </w:pPr>
            <w:r>
              <w:rPr>
                <w:rFonts w:ascii="Georgia" w:hAnsi="Georgia" w:cs="Georgia"/>
                <w:b/>
                <w:bCs/>
                <w:color w:val="122543"/>
                <w:sz w:val="30"/>
                <w:szCs w:val="30"/>
              </w:rPr>
              <w:t>7,623%</w:t>
            </w:r>
          </w:p>
        </w:tc>
        <w:tc>
          <w:tcPr>
            <w:tcW w:w="348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3F5F8"/>
          </w:tcPr>
          <w:p w14:paraId="2A49C4F4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Automóvel elétrico</w:t>
            </w:r>
          </w:p>
          <w:p w14:paraId="6B158839" w14:textId="77777777" w:rsidR="00CF76D7" w:rsidRDefault="00000000">
            <w:pPr>
              <w:spacing w:before="20" w:after="0" w:line="240" w:lineRule="auto"/>
            </w:pPr>
            <w:r>
              <w:rPr>
                <w:color w:val="5A6372"/>
                <w:sz w:val="16"/>
                <w:szCs w:val="16"/>
              </w:rPr>
              <w:t>apenas ajuste de propulsão (−2,0)</w:t>
            </w:r>
          </w:p>
          <w:p w14:paraId="3417ECC4" w14:textId="77777777" w:rsidR="00CF76D7" w:rsidRDefault="00000000">
            <w:pPr>
              <w:spacing w:before="80" w:after="0" w:line="240" w:lineRule="auto"/>
            </w:pPr>
            <w:r>
              <w:rPr>
                <w:color w:val="222222"/>
                <w:sz w:val="18"/>
                <w:szCs w:val="18"/>
              </w:rPr>
              <w:t>(6,3% − 2,0) × 1,21</w:t>
            </w:r>
          </w:p>
          <w:p w14:paraId="14E2F100" w14:textId="77777777" w:rsidR="00CF76D7" w:rsidRDefault="00000000">
            <w:pPr>
              <w:spacing w:before="40" w:after="0" w:line="240" w:lineRule="auto"/>
            </w:pPr>
            <w:r>
              <w:rPr>
                <w:rFonts w:ascii="Georgia" w:hAnsi="Georgia" w:cs="Georgia"/>
                <w:b/>
                <w:bCs/>
                <w:color w:val="122543"/>
                <w:sz w:val="30"/>
                <w:szCs w:val="30"/>
              </w:rPr>
              <w:t>5,203%</w:t>
            </w:r>
          </w:p>
        </w:tc>
        <w:tc>
          <w:tcPr>
            <w:tcW w:w="348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3F5F8"/>
          </w:tcPr>
          <w:p w14:paraId="61443FA6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Automóvel a gasolina, 110 kW</w:t>
            </w:r>
          </w:p>
          <w:p w14:paraId="124ABB6B" w14:textId="77777777" w:rsidR="00CF76D7" w:rsidRDefault="00000000">
            <w:pPr>
              <w:spacing w:before="20" w:after="0" w:line="240" w:lineRule="auto"/>
            </w:pPr>
            <w:r>
              <w:rPr>
                <w:color w:val="5A6372"/>
                <w:sz w:val="16"/>
                <w:szCs w:val="16"/>
              </w:rPr>
              <w:t>propulsão +6,5 e potência +1,5</w:t>
            </w:r>
          </w:p>
          <w:p w14:paraId="5804B1DD" w14:textId="77777777" w:rsidR="00CF76D7" w:rsidRDefault="00000000">
            <w:pPr>
              <w:spacing w:before="80" w:after="0" w:line="240" w:lineRule="auto"/>
            </w:pPr>
            <w:r>
              <w:rPr>
                <w:color w:val="222222"/>
                <w:sz w:val="18"/>
                <w:szCs w:val="18"/>
              </w:rPr>
              <w:t>(6,3% + 8,0) × 1,21</w:t>
            </w:r>
          </w:p>
          <w:p w14:paraId="47285BC1" w14:textId="77777777" w:rsidR="00CF76D7" w:rsidRDefault="00000000">
            <w:pPr>
              <w:spacing w:before="40" w:after="0" w:line="240" w:lineRule="auto"/>
            </w:pPr>
            <w:r>
              <w:rPr>
                <w:rFonts w:ascii="Georgia" w:hAnsi="Georgia" w:cs="Georgia"/>
                <w:b/>
                <w:bCs/>
                <w:color w:val="122543"/>
                <w:sz w:val="30"/>
                <w:szCs w:val="30"/>
              </w:rPr>
              <w:t>17,303%</w:t>
            </w:r>
          </w:p>
        </w:tc>
      </w:tr>
    </w:tbl>
    <w:p w14:paraId="396C5DFB" w14:textId="77777777" w:rsidR="00CF76D7" w:rsidRDefault="00000000">
      <w:pPr>
        <w:spacing w:before="60" w:after="120" w:line="250" w:lineRule="auto"/>
      </w:pPr>
      <w:r>
        <w:rPr>
          <w:i/>
          <w:iCs/>
          <w:color w:val="5A6372"/>
          <w:sz w:val="16"/>
          <w:szCs w:val="16"/>
        </w:rPr>
        <w:t>Exemplos ilustrativos, considerando que os critérios de eficiência, segurança e reciclabilidade não foram atendidos (ajuste 0,0). Os parâmetros técnicos de cada critério seguem os Decretos nº 12.549/2025 e nº 12.435/2025.</w:t>
      </w:r>
    </w:p>
    <w:p w14:paraId="0D5E328A" w14:textId="77777777" w:rsidR="00CF76D7" w:rsidRDefault="00000000">
      <w:pPr>
        <w:keepNext/>
        <w:pBdr>
          <w:bottom w:val="single" w:sz="8" w:space="3" w:color="B08D57"/>
        </w:pBdr>
        <w:spacing w:before="200" w:after="120" w:line="250" w:lineRule="auto"/>
      </w:pPr>
      <w:r>
        <w:rPr>
          <w:rFonts w:ascii="Georgia" w:hAnsi="Georgia" w:cs="Georgia"/>
          <w:b/>
          <w:bCs/>
          <w:color w:val="B08D57"/>
          <w:sz w:val="24"/>
          <w:szCs w:val="24"/>
        </w:rPr>
        <w:t xml:space="preserve">04  </w:t>
      </w:r>
      <w:r>
        <w:rPr>
          <w:rFonts w:ascii="Georgia" w:hAnsi="Georgia" w:cs="Georgia"/>
          <w:b/>
          <w:bCs/>
          <w:color w:val="122543"/>
          <w:sz w:val="24"/>
          <w:szCs w:val="24"/>
        </w:rPr>
        <w:t>Aeronaves, embarcações e demais hipóteses</w:t>
      </w:r>
    </w:p>
    <w:tbl>
      <w:tblPr>
        <w:tblW w:w="10466" w:type="dxa"/>
        <w:jc w:val="center"/>
        <w:tblBorders>
          <w:top w:val="single" w:sz="4" w:space="0" w:color="D5DAE2"/>
          <w:left w:val="nil"/>
          <w:bottom w:val="single" w:sz="4" w:space="0" w:color="D5DAE2"/>
          <w:right w:val="nil"/>
          <w:insideH w:val="single" w:sz="4" w:space="0" w:color="D5DAE2"/>
          <w:insideV w:val="single" w:sz="4" w:space="0" w:color="D5DAE2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  <w:tblLook w:val="04A0" w:firstRow="1" w:lastRow="0" w:firstColumn="1" w:lastColumn="0" w:noHBand="0" w:noVBand="1"/>
      </w:tblPr>
      <w:tblGrid>
        <w:gridCol w:w="4966"/>
        <w:gridCol w:w="1800"/>
        <w:gridCol w:w="1500"/>
        <w:gridCol w:w="2200"/>
      </w:tblGrid>
      <w:tr w:rsidR="00CF76D7" w14:paraId="0515014B" w14:textId="77777777">
        <w:trPr>
          <w:cantSplit/>
          <w:tblHeader/>
          <w:jc w:val="center"/>
        </w:trPr>
        <w:tc>
          <w:tcPr>
            <w:tcW w:w="4966" w:type="dxa"/>
            <w:shd w:val="clear" w:color="auto" w:fill="122543"/>
            <w:vAlign w:val="center"/>
          </w:tcPr>
          <w:p w14:paraId="71C58F21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Produto / classificação NCM</w:t>
            </w:r>
          </w:p>
        </w:tc>
        <w:tc>
          <w:tcPr>
            <w:tcW w:w="1800" w:type="dxa"/>
            <w:shd w:val="clear" w:color="auto" w:fill="122543"/>
            <w:vAlign w:val="center"/>
          </w:tcPr>
          <w:p w14:paraId="4310CB44" w14:textId="77777777" w:rsidR="00CF76D7" w:rsidRDefault="00000000">
            <w:pPr>
              <w:spacing w:after="0"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Alíquota inicial</w:t>
            </w:r>
          </w:p>
        </w:tc>
        <w:tc>
          <w:tcPr>
            <w:tcW w:w="1500" w:type="dxa"/>
            <w:shd w:val="clear" w:color="auto" w:fill="122543"/>
            <w:vAlign w:val="center"/>
          </w:tcPr>
          <w:p w14:paraId="7652C74B" w14:textId="77777777" w:rsidR="00CF76D7" w:rsidRDefault="00000000">
            <w:pPr>
              <w:spacing w:after="0"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Fator</w:t>
            </w:r>
          </w:p>
        </w:tc>
        <w:tc>
          <w:tcPr>
            <w:tcW w:w="2200" w:type="dxa"/>
            <w:shd w:val="clear" w:color="auto" w:fill="122543"/>
            <w:vAlign w:val="center"/>
          </w:tcPr>
          <w:p w14:paraId="60B46F0C" w14:textId="77777777" w:rsidR="00CF76D7" w:rsidRDefault="00000000">
            <w:pPr>
              <w:spacing w:after="0"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Alíquota final IS</w:t>
            </w:r>
          </w:p>
        </w:tc>
      </w:tr>
      <w:tr w:rsidR="00CF76D7" w14:paraId="3D9BBEC7" w14:textId="77777777">
        <w:trPr>
          <w:cantSplit/>
          <w:jc w:val="center"/>
        </w:trPr>
        <w:tc>
          <w:tcPr>
            <w:tcW w:w="4966" w:type="dxa"/>
            <w:vAlign w:val="center"/>
          </w:tcPr>
          <w:p w14:paraId="11DF5D3C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Aeronaves</w:t>
            </w:r>
          </w:p>
          <w:p w14:paraId="4108891C" w14:textId="77777777" w:rsidR="00CF76D7" w:rsidRDefault="00000000">
            <w:pPr>
              <w:spacing w:after="0" w:line="240" w:lineRule="auto"/>
            </w:pPr>
            <w:r>
              <w:rPr>
                <w:color w:val="5A6372"/>
                <w:sz w:val="16"/>
                <w:szCs w:val="16"/>
              </w:rPr>
              <w:t>Posição 88.02, exceto 8802.60.00</w:t>
            </w:r>
          </w:p>
        </w:tc>
        <w:tc>
          <w:tcPr>
            <w:tcW w:w="1800" w:type="dxa"/>
            <w:vAlign w:val="center"/>
          </w:tcPr>
          <w:p w14:paraId="7F80C77E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6,5%</w:t>
            </w:r>
          </w:p>
        </w:tc>
        <w:tc>
          <w:tcPr>
            <w:tcW w:w="1500" w:type="dxa"/>
            <w:vAlign w:val="center"/>
          </w:tcPr>
          <w:p w14:paraId="0A722231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1,04</w:t>
            </w:r>
          </w:p>
        </w:tc>
        <w:tc>
          <w:tcPr>
            <w:tcW w:w="2200" w:type="dxa"/>
            <w:shd w:val="clear" w:color="auto" w:fill="F6F0E6"/>
            <w:vAlign w:val="center"/>
          </w:tcPr>
          <w:p w14:paraId="57965730" w14:textId="77777777" w:rsidR="00CF76D7" w:rsidRDefault="00000000">
            <w:pPr>
              <w:spacing w:after="0" w:line="240" w:lineRule="auto"/>
              <w:jc w:val="center"/>
            </w:pPr>
            <w:r>
              <w:rPr>
                <w:rFonts w:ascii="Georgia" w:hAnsi="Georgia" w:cs="Georgia"/>
                <w:b/>
                <w:bCs/>
                <w:color w:val="122543"/>
                <w:sz w:val="21"/>
                <w:szCs w:val="21"/>
              </w:rPr>
              <w:t>6,8%</w:t>
            </w:r>
          </w:p>
        </w:tc>
      </w:tr>
      <w:tr w:rsidR="00CF76D7" w14:paraId="43CAD194" w14:textId="77777777">
        <w:trPr>
          <w:cantSplit/>
          <w:jc w:val="center"/>
        </w:trPr>
        <w:tc>
          <w:tcPr>
            <w:tcW w:w="4966" w:type="dxa"/>
            <w:shd w:val="clear" w:color="auto" w:fill="F3F5F8"/>
            <w:vAlign w:val="center"/>
          </w:tcPr>
          <w:p w14:paraId="1AF2B92E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Barcos a motor</w:t>
            </w:r>
          </w:p>
          <w:p w14:paraId="6CB6C7DD" w14:textId="77777777" w:rsidR="00CF76D7" w:rsidRDefault="00000000">
            <w:pPr>
              <w:spacing w:after="0" w:line="240" w:lineRule="auto"/>
            </w:pPr>
            <w:r>
              <w:rPr>
                <w:color w:val="5A6372"/>
                <w:sz w:val="16"/>
                <w:szCs w:val="16"/>
              </w:rPr>
              <w:t>Subposição 8903.3</w:t>
            </w:r>
          </w:p>
        </w:tc>
        <w:tc>
          <w:tcPr>
            <w:tcW w:w="1800" w:type="dxa"/>
            <w:shd w:val="clear" w:color="auto" w:fill="F3F5F8"/>
            <w:vAlign w:val="center"/>
          </w:tcPr>
          <w:p w14:paraId="3B1E654B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10%</w:t>
            </w:r>
          </w:p>
        </w:tc>
        <w:tc>
          <w:tcPr>
            <w:tcW w:w="1500" w:type="dxa"/>
            <w:shd w:val="clear" w:color="auto" w:fill="F3F5F8"/>
            <w:vAlign w:val="center"/>
          </w:tcPr>
          <w:p w14:paraId="1820B967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1,20</w:t>
            </w:r>
          </w:p>
        </w:tc>
        <w:tc>
          <w:tcPr>
            <w:tcW w:w="2200" w:type="dxa"/>
            <w:shd w:val="clear" w:color="auto" w:fill="F6F0E6"/>
            <w:vAlign w:val="center"/>
          </w:tcPr>
          <w:p w14:paraId="3A755F03" w14:textId="77777777" w:rsidR="00CF76D7" w:rsidRDefault="00000000">
            <w:pPr>
              <w:spacing w:after="0" w:line="240" w:lineRule="auto"/>
              <w:jc w:val="center"/>
            </w:pPr>
            <w:r>
              <w:rPr>
                <w:rFonts w:ascii="Georgia" w:hAnsi="Georgia" w:cs="Georgia"/>
                <w:b/>
                <w:bCs/>
                <w:color w:val="122543"/>
                <w:sz w:val="21"/>
                <w:szCs w:val="21"/>
              </w:rPr>
              <w:t>12,0%</w:t>
            </w:r>
          </w:p>
        </w:tc>
      </w:tr>
      <w:tr w:rsidR="00CF76D7" w14:paraId="560419C1" w14:textId="77777777">
        <w:trPr>
          <w:cantSplit/>
          <w:jc w:val="center"/>
        </w:trPr>
        <w:tc>
          <w:tcPr>
            <w:tcW w:w="4966" w:type="dxa"/>
            <w:vAlign w:val="center"/>
          </w:tcPr>
          <w:p w14:paraId="56D6EC49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Demais embarcações de recreio ou de esporte, a motor</w:t>
            </w:r>
          </w:p>
          <w:p w14:paraId="0E339E57" w14:textId="77777777" w:rsidR="00CF76D7" w:rsidRDefault="00000000">
            <w:pPr>
              <w:spacing w:after="0" w:line="240" w:lineRule="auto"/>
            </w:pPr>
            <w:r>
              <w:rPr>
                <w:color w:val="5A6372"/>
                <w:sz w:val="16"/>
                <w:szCs w:val="16"/>
              </w:rPr>
              <w:t>Posição 89.03</w:t>
            </w:r>
          </w:p>
        </w:tc>
        <w:tc>
          <w:tcPr>
            <w:tcW w:w="1800" w:type="dxa"/>
            <w:vAlign w:val="center"/>
          </w:tcPr>
          <w:p w14:paraId="6D4E1FB5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6,5%</w:t>
            </w:r>
          </w:p>
        </w:tc>
        <w:tc>
          <w:tcPr>
            <w:tcW w:w="1500" w:type="dxa"/>
            <w:vAlign w:val="center"/>
          </w:tcPr>
          <w:p w14:paraId="6923541E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1,20</w:t>
            </w:r>
          </w:p>
        </w:tc>
        <w:tc>
          <w:tcPr>
            <w:tcW w:w="2200" w:type="dxa"/>
            <w:shd w:val="clear" w:color="auto" w:fill="F6F0E6"/>
            <w:vAlign w:val="center"/>
          </w:tcPr>
          <w:p w14:paraId="0B5EFC5C" w14:textId="77777777" w:rsidR="00CF76D7" w:rsidRDefault="00000000">
            <w:pPr>
              <w:spacing w:after="0" w:line="240" w:lineRule="auto"/>
              <w:jc w:val="center"/>
            </w:pPr>
            <w:r>
              <w:rPr>
                <w:rFonts w:ascii="Georgia" w:hAnsi="Georgia" w:cs="Georgia"/>
                <w:b/>
                <w:bCs/>
                <w:color w:val="122543"/>
                <w:sz w:val="21"/>
                <w:szCs w:val="21"/>
              </w:rPr>
              <w:t>7,8%</w:t>
            </w:r>
          </w:p>
        </w:tc>
      </w:tr>
      <w:tr w:rsidR="00CF76D7" w14:paraId="74C649F0" w14:textId="77777777">
        <w:trPr>
          <w:cantSplit/>
          <w:jc w:val="center"/>
        </w:trPr>
        <w:tc>
          <w:tcPr>
            <w:tcW w:w="4966" w:type="dxa"/>
            <w:shd w:val="clear" w:color="auto" w:fill="F3F5F8"/>
            <w:vAlign w:val="center"/>
          </w:tcPr>
          <w:p w14:paraId="765CF420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Bens minerais extraídos</w:t>
            </w:r>
          </w:p>
          <w:p w14:paraId="670E68DB" w14:textId="77777777" w:rsidR="00CF76D7" w:rsidRDefault="00000000">
            <w:pPr>
              <w:spacing w:after="0" w:line="240" w:lineRule="auto"/>
            </w:pPr>
            <w:r>
              <w:rPr>
                <w:color w:val="5A6372"/>
                <w:sz w:val="16"/>
                <w:szCs w:val="16"/>
              </w:rPr>
              <w:t>Alíquota reduzida a zero até 31/12/2027 (art. 6º, III, "a", 3)</w:t>
            </w:r>
          </w:p>
        </w:tc>
        <w:tc>
          <w:tcPr>
            <w:tcW w:w="1800" w:type="dxa"/>
            <w:shd w:val="clear" w:color="auto" w:fill="F3F5F8"/>
            <w:vAlign w:val="center"/>
          </w:tcPr>
          <w:p w14:paraId="2ED995DE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—</w:t>
            </w:r>
          </w:p>
        </w:tc>
        <w:tc>
          <w:tcPr>
            <w:tcW w:w="1500" w:type="dxa"/>
            <w:shd w:val="clear" w:color="auto" w:fill="F3F5F8"/>
            <w:vAlign w:val="center"/>
          </w:tcPr>
          <w:p w14:paraId="6C57263C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—</w:t>
            </w:r>
          </w:p>
        </w:tc>
        <w:tc>
          <w:tcPr>
            <w:tcW w:w="2200" w:type="dxa"/>
            <w:shd w:val="clear" w:color="auto" w:fill="F6F0E6"/>
            <w:vAlign w:val="center"/>
          </w:tcPr>
          <w:p w14:paraId="6662BBAA" w14:textId="77777777" w:rsidR="00CF76D7" w:rsidRDefault="00000000">
            <w:pPr>
              <w:spacing w:after="0" w:line="240" w:lineRule="auto"/>
              <w:jc w:val="center"/>
            </w:pPr>
            <w:r>
              <w:rPr>
                <w:rFonts w:ascii="Georgia" w:hAnsi="Georgia" w:cs="Georgia"/>
                <w:b/>
                <w:bCs/>
                <w:color w:val="122543"/>
                <w:sz w:val="21"/>
                <w:szCs w:val="21"/>
              </w:rPr>
              <w:t>0%</w:t>
            </w:r>
          </w:p>
        </w:tc>
      </w:tr>
      <w:tr w:rsidR="00CF76D7" w14:paraId="5006B887" w14:textId="77777777">
        <w:trPr>
          <w:cantSplit/>
          <w:jc w:val="center"/>
        </w:trPr>
        <w:tc>
          <w:tcPr>
            <w:tcW w:w="4966" w:type="dxa"/>
            <w:vAlign w:val="center"/>
          </w:tcPr>
          <w:p w14:paraId="760F6C94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Concursos de prognósticos</w:t>
            </w:r>
          </w:p>
          <w:p w14:paraId="48C5554A" w14:textId="77777777" w:rsidR="00CF76D7" w:rsidRDefault="00000000">
            <w:pPr>
              <w:spacing w:after="0" w:line="240" w:lineRule="auto"/>
            </w:pPr>
            <w:r>
              <w:rPr>
                <w:color w:val="5A6372"/>
                <w:sz w:val="16"/>
                <w:szCs w:val="16"/>
              </w:rPr>
              <w:t>Art. 244 da LC nº 214/2025 (art. 7º da MP)</w:t>
            </w:r>
          </w:p>
        </w:tc>
        <w:tc>
          <w:tcPr>
            <w:tcW w:w="1800" w:type="dxa"/>
            <w:vAlign w:val="center"/>
          </w:tcPr>
          <w:p w14:paraId="5565C489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—</w:t>
            </w:r>
          </w:p>
        </w:tc>
        <w:tc>
          <w:tcPr>
            <w:tcW w:w="1500" w:type="dxa"/>
            <w:vAlign w:val="center"/>
          </w:tcPr>
          <w:p w14:paraId="3C318EA4" w14:textId="77777777" w:rsidR="00CF76D7" w:rsidRDefault="00000000">
            <w:pPr>
              <w:spacing w:after="0" w:line="240" w:lineRule="auto"/>
              <w:jc w:val="center"/>
            </w:pPr>
            <w:r>
              <w:rPr>
                <w:color w:val="222222"/>
                <w:sz w:val="18"/>
                <w:szCs w:val="18"/>
              </w:rPr>
              <w:t>—</w:t>
            </w:r>
          </w:p>
        </w:tc>
        <w:tc>
          <w:tcPr>
            <w:tcW w:w="2200" w:type="dxa"/>
            <w:shd w:val="clear" w:color="auto" w:fill="F6F0E6"/>
            <w:vAlign w:val="center"/>
          </w:tcPr>
          <w:p w14:paraId="5439FF5F" w14:textId="77777777" w:rsidR="00CF76D7" w:rsidRDefault="00000000">
            <w:pPr>
              <w:spacing w:after="0" w:line="240" w:lineRule="auto"/>
              <w:jc w:val="center"/>
            </w:pPr>
            <w:r>
              <w:rPr>
                <w:rFonts w:ascii="Georgia" w:hAnsi="Georgia" w:cs="Georgia"/>
                <w:b/>
                <w:bCs/>
                <w:color w:val="122543"/>
                <w:sz w:val="21"/>
                <w:szCs w:val="21"/>
              </w:rPr>
              <w:t>0,5%</w:t>
            </w:r>
          </w:p>
        </w:tc>
      </w:tr>
    </w:tbl>
    <w:p w14:paraId="2CE1E4CB" w14:textId="77777777" w:rsidR="00CF76D7" w:rsidRDefault="00000000">
      <w:pPr>
        <w:keepNext/>
        <w:pBdr>
          <w:bottom w:val="single" w:sz="8" w:space="3" w:color="B08D57"/>
        </w:pBdr>
        <w:spacing w:before="200" w:after="120" w:line="250" w:lineRule="auto"/>
      </w:pPr>
      <w:r>
        <w:rPr>
          <w:rFonts w:ascii="Georgia" w:hAnsi="Georgia" w:cs="Georgia"/>
          <w:b/>
          <w:bCs/>
          <w:color w:val="B08D57"/>
          <w:sz w:val="24"/>
          <w:szCs w:val="24"/>
        </w:rPr>
        <w:t xml:space="preserve">05  </w:t>
      </w:r>
      <w:r>
        <w:rPr>
          <w:rFonts w:ascii="Georgia" w:hAnsi="Georgia" w:cs="Georgia"/>
          <w:b/>
          <w:bCs/>
          <w:color w:val="122543"/>
          <w:sz w:val="24"/>
          <w:szCs w:val="24"/>
        </w:rPr>
        <w:t>Importação (art. 8º)</w:t>
      </w:r>
    </w:p>
    <w:p w14:paraId="7112F9BD" w14:textId="77777777" w:rsidR="00CF76D7" w:rsidRDefault="00000000">
      <w:pPr>
        <w:spacing w:after="120" w:line="250" w:lineRule="auto"/>
        <w:jc w:val="both"/>
      </w:pPr>
      <w:r>
        <w:rPr>
          <w:color w:val="222222"/>
          <w:sz w:val="21"/>
          <w:szCs w:val="21"/>
        </w:rPr>
        <w:t xml:space="preserve">Na importação, a alíquota do IS é multiplicada por um </w:t>
      </w:r>
      <w:r>
        <w:rPr>
          <w:b/>
          <w:bCs/>
          <w:color w:val="222222"/>
          <w:sz w:val="21"/>
          <w:szCs w:val="21"/>
        </w:rPr>
        <w:t>fator de ajuste</w:t>
      </w:r>
      <w:r>
        <w:rPr>
          <w:color w:val="222222"/>
          <w:sz w:val="21"/>
          <w:szCs w:val="21"/>
        </w:rPr>
        <w:t>, aplicado de forma cumulativa ao fator de conversão, quando a base de cálculo for o valor aduaneiro acrescido do Imposto de Importação:</w:t>
      </w:r>
    </w:p>
    <w:tbl>
      <w:tblPr>
        <w:tblW w:w="10466" w:type="dxa"/>
        <w:jc w:val="center"/>
        <w:tblBorders>
          <w:top w:val="single" w:sz="4" w:space="0" w:color="D5DAE2"/>
          <w:left w:val="nil"/>
          <w:bottom w:val="single" w:sz="4" w:space="0" w:color="D5DAE2"/>
          <w:right w:val="nil"/>
          <w:insideH w:val="single" w:sz="4" w:space="0" w:color="D5DAE2"/>
          <w:insideV w:val="single" w:sz="4" w:space="0" w:color="D5DAE2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  <w:tblLook w:val="04A0" w:firstRow="1" w:lastRow="0" w:firstColumn="1" w:lastColumn="0" w:noHBand="0" w:noVBand="1"/>
      </w:tblPr>
      <w:tblGrid>
        <w:gridCol w:w="4466"/>
        <w:gridCol w:w="2000"/>
        <w:gridCol w:w="4000"/>
      </w:tblGrid>
      <w:tr w:rsidR="00CF76D7" w14:paraId="1B38780E" w14:textId="77777777">
        <w:trPr>
          <w:cantSplit/>
          <w:tblHeader/>
          <w:jc w:val="center"/>
        </w:trPr>
        <w:tc>
          <w:tcPr>
            <w:tcW w:w="4466" w:type="dxa"/>
            <w:shd w:val="clear" w:color="auto" w:fill="122543"/>
            <w:vAlign w:val="center"/>
          </w:tcPr>
          <w:p w14:paraId="0003B822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Categoria</w:t>
            </w:r>
          </w:p>
        </w:tc>
        <w:tc>
          <w:tcPr>
            <w:tcW w:w="2000" w:type="dxa"/>
            <w:shd w:val="clear" w:color="auto" w:fill="122543"/>
            <w:vAlign w:val="center"/>
          </w:tcPr>
          <w:p w14:paraId="29BB9631" w14:textId="77777777" w:rsidR="00CF76D7" w:rsidRDefault="00000000">
            <w:pPr>
              <w:spacing w:after="0" w:line="24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Fator de ajuste</w:t>
            </w:r>
          </w:p>
        </w:tc>
        <w:tc>
          <w:tcPr>
            <w:tcW w:w="4000" w:type="dxa"/>
            <w:shd w:val="clear" w:color="auto" w:fill="122543"/>
            <w:vAlign w:val="center"/>
          </w:tcPr>
          <w:p w14:paraId="1C7DA53B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Exemplo de aplicação</w:t>
            </w:r>
          </w:p>
        </w:tc>
      </w:tr>
      <w:tr w:rsidR="00CF76D7" w14:paraId="078F737C" w14:textId="77777777">
        <w:trPr>
          <w:cantSplit/>
          <w:jc w:val="center"/>
        </w:trPr>
        <w:tc>
          <w:tcPr>
            <w:tcW w:w="4466" w:type="dxa"/>
            <w:vAlign w:val="center"/>
          </w:tcPr>
          <w:p w14:paraId="606261FA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Veículos, embarcações e aeronaves</w:t>
            </w:r>
          </w:p>
        </w:tc>
        <w:tc>
          <w:tcPr>
            <w:tcW w:w="2000" w:type="dxa"/>
            <w:shd w:val="clear" w:color="auto" w:fill="F6F0E6"/>
            <w:vAlign w:val="center"/>
          </w:tcPr>
          <w:p w14:paraId="39558E72" w14:textId="77777777" w:rsidR="00CF76D7" w:rsidRDefault="00000000">
            <w:pPr>
              <w:spacing w:after="0" w:line="240" w:lineRule="auto"/>
              <w:jc w:val="center"/>
            </w:pPr>
            <w:r>
              <w:rPr>
                <w:rFonts w:ascii="Georgia" w:hAnsi="Georgia" w:cs="Georgia"/>
                <w:b/>
                <w:bCs/>
                <w:color w:val="122543"/>
                <w:sz w:val="21"/>
                <w:szCs w:val="21"/>
              </w:rPr>
              <w:t>1,17</w:t>
            </w:r>
          </w:p>
        </w:tc>
        <w:tc>
          <w:tcPr>
            <w:tcW w:w="4000" w:type="dxa"/>
            <w:vAlign w:val="center"/>
          </w:tcPr>
          <w:p w14:paraId="22468CAC" w14:textId="77777777" w:rsidR="00CF76D7" w:rsidRDefault="00000000">
            <w:pPr>
              <w:spacing w:after="0" w:line="240" w:lineRule="auto"/>
            </w:pPr>
            <w:r>
              <w:rPr>
                <w:color w:val="222222"/>
                <w:sz w:val="18"/>
                <w:szCs w:val="18"/>
              </w:rPr>
              <w:t>Aeronave: 6,8% × 1,17 ≈ 7,96%</w:t>
            </w:r>
          </w:p>
        </w:tc>
      </w:tr>
      <w:tr w:rsidR="00CF76D7" w14:paraId="753AEDEA" w14:textId="77777777">
        <w:trPr>
          <w:cantSplit/>
          <w:jc w:val="center"/>
        </w:trPr>
        <w:tc>
          <w:tcPr>
            <w:tcW w:w="4466" w:type="dxa"/>
            <w:shd w:val="clear" w:color="auto" w:fill="F3F5F8"/>
            <w:vAlign w:val="center"/>
          </w:tcPr>
          <w:p w14:paraId="254E1D16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Bebidas alcoólicas e bebidas açucaradas</w:t>
            </w:r>
          </w:p>
        </w:tc>
        <w:tc>
          <w:tcPr>
            <w:tcW w:w="2000" w:type="dxa"/>
            <w:shd w:val="clear" w:color="auto" w:fill="F6F0E6"/>
            <w:vAlign w:val="center"/>
          </w:tcPr>
          <w:p w14:paraId="40BEA1F2" w14:textId="77777777" w:rsidR="00CF76D7" w:rsidRDefault="00000000">
            <w:pPr>
              <w:spacing w:after="0" w:line="240" w:lineRule="auto"/>
              <w:jc w:val="center"/>
            </w:pPr>
            <w:r>
              <w:rPr>
                <w:rFonts w:ascii="Georgia" w:hAnsi="Georgia" w:cs="Georgia"/>
                <w:b/>
                <w:bCs/>
                <w:color w:val="122543"/>
                <w:sz w:val="21"/>
                <w:szCs w:val="21"/>
              </w:rPr>
              <w:t>1,45</w:t>
            </w:r>
          </w:p>
        </w:tc>
        <w:tc>
          <w:tcPr>
            <w:tcW w:w="4000" w:type="dxa"/>
            <w:shd w:val="clear" w:color="auto" w:fill="F3F5F8"/>
            <w:vAlign w:val="center"/>
          </w:tcPr>
          <w:p w14:paraId="6C57894B" w14:textId="77777777" w:rsidR="00CF76D7" w:rsidRDefault="00000000">
            <w:pPr>
              <w:spacing w:after="0" w:line="240" w:lineRule="auto"/>
            </w:pPr>
            <w:r>
              <w:rPr>
                <w:color w:val="222222"/>
                <w:sz w:val="18"/>
                <w:szCs w:val="18"/>
              </w:rPr>
              <w:t>Cerveja de malte: 4,2% × 1,45 = 6,09%</w:t>
            </w:r>
          </w:p>
        </w:tc>
      </w:tr>
      <w:tr w:rsidR="00CF76D7" w14:paraId="3CCCAA85" w14:textId="77777777">
        <w:trPr>
          <w:cantSplit/>
          <w:jc w:val="center"/>
        </w:trPr>
        <w:tc>
          <w:tcPr>
            <w:tcW w:w="4466" w:type="dxa"/>
            <w:vAlign w:val="center"/>
          </w:tcPr>
          <w:p w14:paraId="70C62AF5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8"/>
                <w:szCs w:val="18"/>
              </w:rPr>
              <w:t>Demais casos</w:t>
            </w:r>
          </w:p>
        </w:tc>
        <w:tc>
          <w:tcPr>
            <w:tcW w:w="2000" w:type="dxa"/>
            <w:shd w:val="clear" w:color="auto" w:fill="F6F0E6"/>
            <w:vAlign w:val="center"/>
          </w:tcPr>
          <w:p w14:paraId="7D6AEA11" w14:textId="77777777" w:rsidR="00CF76D7" w:rsidRDefault="00000000">
            <w:pPr>
              <w:spacing w:after="0" w:line="240" w:lineRule="auto"/>
              <w:jc w:val="center"/>
            </w:pPr>
            <w:r>
              <w:rPr>
                <w:rFonts w:ascii="Georgia" w:hAnsi="Georgia" w:cs="Georgia"/>
                <w:b/>
                <w:bCs/>
                <w:color w:val="122543"/>
                <w:sz w:val="21"/>
                <w:szCs w:val="21"/>
              </w:rPr>
              <w:t>1,00</w:t>
            </w:r>
          </w:p>
        </w:tc>
        <w:tc>
          <w:tcPr>
            <w:tcW w:w="4000" w:type="dxa"/>
            <w:vAlign w:val="center"/>
          </w:tcPr>
          <w:p w14:paraId="09A29221" w14:textId="77777777" w:rsidR="00CF76D7" w:rsidRDefault="00000000">
            <w:pPr>
              <w:spacing w:after="0" w:line="240" w:lineRule="auto"/>
            </w:pPr>
            <w:r>
              <w:rPr>
                <w:color w:val="222222"/>
                <w:sz w:val="18"/>
                <w:szCs w:val="18"/>
              </w:rPr>
              <w:t>Sem acréscimo por esse fator</w:t>
            </w:r>
          </w:p>
        </w:tc>
      </w:tr>
    </w:tbl>
    <w:p w14:paraId="12B68271" w14:textId="77777777" w:rsidR="00CF76D7" w:rsidRDefault="00CF76D7">
      <w:pPr>
        <w:spacing w:after="100" w:line="240" w:lineRule="auto"/>
        <w:jc w:val="both"/>
        <w:rPr>
          <w:sz w:val="4"/>
        </w:rPr>
      </w:pPr>
    </w:p>
    <w:p w14:paraId="7EB6DF85" w14:textId="77777777" w:rsidR="00CF76D7" w:rsidRDefault="00000000">
      <w:pPr>
        <w:spacing w:after="120" w:line="250" w:lineRule="auto"/>
        <w:jc w:val="both"/>
      </w:pPr>
      <w:r>
        <w:rPr>
          <w:color w:val="222222"/>
          <w:sz w:val="21"/>
          <w:szCs w:val="21"/>
        </w:rPr>
        <w:t>Para fumígenos cuja base seja o maior valor entre o preço de referência e o valor aduaneiro acrescido do II, o fator é 1,00. O diferimento do pagamento na importação, quando previsto, alcança também o IS (art. 9º), e a suspensão em loja franca converte-se em alíquota zero com a venda do bem (art. 10).</w:t>
      </w:r>
    </w:p>
    <w:p w14:paraId="48A9F38B" w14:textId="77777777" w:rsidR="00CF76D7" w:rsidRDefault="00000000">
      <w:pPr>
        <w:keepNext/>
        <w:pBdr>
          <w:bottom w:val="single" w:sz="8" w:space="3" w:color="B08D57"/>
        </w:pBdr>
        <w:spacing w:before="200" w:after="120" w:line="250" w:lineRule="auto"/>
      </w:pPr>
      <w:r>
        <w:rPr>
          <w:rFonts w:ascii="Georgia" w:hAnsi="Georgia" w:cs="Georgia"/>
          <w:b/>
          <w:bCs/>
          <w:color w:val="B08D57"/>
          <w:sz w:val="24"/>
          <w:szCs w:val="24"/>
        </w:rPr>
        <w:t xml:space="preserve">06  </w:t>
      </w:r>
      <w:r>
        <w:rPr>
          <w:rFonts w:ascii="Georgia" w:hAnsi="Georgia" w:cs="Georgia"/>
          <w:b/>
          <w:bCs/>
          <w:color w:val="122543"/>
          <w:sz w:val="24"/>
          <w:szCs w:val="24"/>
        </w:rPr>
        <w:t>Alíquota zero, reduções e não incidência</w:t>
      </w:r>
    </w:p>
    <w:p w14:paraId="3AF0E9A6" w14:textId="77777777" w:rsidR="00CF76D7" w:rsidRDefault="00000000">
      <w:pPr>
        <w:keepNext/>
        <w:spacing w:after="60" w:line="250" w:lineRule="auto"/>
      </w:pPr>
      <w:r>
        <w:rPr>
          <w:b/>
          <w:bCs/>
          <w:color w:val="122543"/>
          <w:sz w:val="20"/>
          <w:szCs w:val="20"/>
        </w:rPr>
        <w:t>Alíquota zero (art. 4º)</w:t>
      </w:r>
    </w:p>
    <w:p w14:paraId="47404A17" w14:textId="77777777" w:rsidR="00CF76D7" w:rsidRDefault="00000000">
      <w:pPr>
        <w:numPr>
          <w:ilvl w:val="0"/>
          <w:numId w:val="5"/>
        </w:numPr>
        <w:spacing w:after="60" w:line="250" w:lineRule="auto"/>
        <w:jc w:val="both"/>
      </w:pPr>
      <w:r>
        <w:rPr>
          <w:color w:val="222222"/>
          <w:sz w:val="20"/>
          <w:szCs w:val="20"/>
        </w:rPr>
        <w:t>Veículos adquiridos por pessoas com deficiência, com Transtorno do Espectro Autista e por motoristas profissionais (táxi), com direito reconhecido pela Receita Federal (art. 149 da LC nº 214/2025).</w:t>
      </w:r>
    </w:p>
    <w:p w14:paraId="08672475" w14:textId="77777777" w:rsidR="00CF76D7" w:rsidRDefault="00000000">
      <w:pPr>
        <w:numPr>
          <w:ilvl w:val="0"/>
          <w:numId w:val="5"/>
        </w:numPr>
        <w:spacing w:after="60" w:line="250" w:lineRule="auto"/>
        <w:jc w:val="both"/>
      </w:pPr>
      <w:r>
        <w:rPr>
          <w:color w:val="222222"/>
          <w:sz w:val="20"/>
          <w:szCs w:val="20"/>
        </w:rPr>
        <w:t>Veículos com registro de versão sustentável no MDIC (Lei nº 14.902/2024) que atendam, cumulativamente, aos critérios de emissão de CO₂, reciclabilidade, etapas fabris no País e categoria.</w:t>
      </w:r>
    </w:p>
    <w:p w14:paraId="77EE56A5" w14:textId="77777777" w:rsidR="00CF76D7" w:rsidRDefault="00000000">
      <w:pPr>
        <w:numPr>
          <w:ilvl w:val="0"/>
          <w:numId w:val="5"/>
        </w:numPr>
        <w:spacing w:after="60" w:line="250" w:lineRule="auto"/>
        <w:jc w:val="both"/>
      </w:pPr>
      <w:r>
        <w:rPr>
          <w:color w:val="222222"/>
          <w:sz w:val="20"/>
          <w:szCs w:val="20"/>
        </w:rPr>
        <w:t>Embarcações e aeronaves com propulsão exclusivamente elétrica ou sem emissão direta de CO₂.</w:t>
      </w:r>
    </w:p>
    <w:p w14:paraId="0D7EF659" w14:textId="77777777" w:rsidR="00CF76D7" w:rsidRDefault="00000000">
      <w:pPr>
        <w:keepNext/>
        <w:spacing w:before="120" w:after="60" w:line="250" w:lineRule="auto"/>
      </w:pPr>
      <w:r>
        <w:rPr>
          <w:b/>
          <w:bCs/>
          <w:color w:val="122543"/>
          <w:sz w:val="20"/>
          <w:szCs w:val="20"/>
        </w:rPr>
        <w:lastRenderedPageBreak/>
        <w:t>Regras transitórias até 31/12/2027 (art. 6º, III)</w:t>
      </w:r>
    </w:p>
    <w:p w14:paraId="5ABD784A" w14:textId="77777777" w:rsidR="00CF76D7" w:rsidRDefault="00000000">
      <w:pPr>
        <w:numPr>
          <w:ilvl w:val="0"/>
          <w:numId w:val="5"/>
        </w:numPr>
        <w:spacing w:after="60" w:line="250" w:lineRule="auto"/>
        <w:jc w:val="both"/>
      </w:pPr>
      <w:r>
        <w:rPr>
          <w:color w:val="222222"/>
          <w:sz w:val="20"/>
          <w:szCs w:val="20"/>
        </w:rPr>
        <w:t>Alíquota zero para automóveis e aeronaves das Notas Complementares 87-2 e 88-1 (alínea "c") da TIPI, para as aquisições e arrendamentos das Notas 89-1 e 88-1 (alíneas "a" e "b") e para os bens minerais extraídos.</w:t>
      </w:r>
    </w:p>
    <w:p w14:paraId="31BCA56C" w14:textId="77777777" w:rsidR="00CF76D7" w:rsidRDefault="00000000">
      <w:pPr>
        <w:numPr>
          <w:ilvl w:val="0"/>
          <w:numId w:val="5"/>
        </w:numPr>
        <w:spacing w:after="60" w:line="250" w:lineRule="auto"/>
        <w:jc w:val="both"/>
      </w:pPr>
      <w:r>
        <w:rPr>
          <w:color w:val="222222"/>
          <w:sz w:val="20"/>
          <w:szCs w:val="20"/>
        </w:rPr>
        <w:t>Redução de 50% nas aquisições ou arrendamentos da Nota Complementar 88-2 da TIPI.</w:t>
      </w:r>
    </w:p>
    <w:p w14:paraId="2D22E159" w14:textId="77777777" w:rsidR="00CF76D7" w:rsidRDefault="00000000">
      <w:pPr>
        <w:keepNext/>
        <w:spacing w:before="120" w:after="60" w:line="250" w:lineRule="auto"/>
      </w:pPr>
      <w:r>
        <w:rPr>
          <w:b/>
          <w:bCs/>
          <w:color w:val="122543"/>
          <w:sz w:val="20"/>
          <w:szCs w:val="20"/>
        </w:rPr>
        <w:t>Não incidência (art. 5º)</w:t>
      </w:r>
    </w:p>
    <w:p w14:paraId="2E2BE741" w14:textId="77777777" w:rsidR="00CF76D7" w:rsidRDefault="00000000">
      <w:pPr>
        <w:numPr>
          <w:ilvl w:val="0"/>
          <w:numId w:val="5"/>
        </w:numPr>
        <w:spacing w:after="60" w:line="250" w:lineRule="auto"/>
        <w:jc w:val="both"/>
      </w:pPr>
      <w:r>
        <w:rPr>
          <w:b/>
          <w:bCs/>
          <w:color w:val="222222"/>
          <w:sz w:val="20"/>
          <w:szCs w:val="20"/>
        </w:rPr>
        <w:t>Caminhões:</w:t>
      </w:r>
      <w:r>
        <w:rPr>
          <w:color w:val="222222"/>
          <w:sz w:val="20"/>
          <w:szCs w:val="20"/>
        </w:rPr>
        <w:t xml:space="preserve"> veículos de carga com peso bruto total igual ou superior a 3.500 kg. </w:t>
      </w:r>
      <w:r>
        <w:rPr>
          <w:b/>
          <w:bCs/>
          <w:color w:val="222222"/>
          <w:sz w:val="20"/>
          <w:szCs w:val="20"/>
        </w:rPr>
        <w:t>Picapes não se enquadram</w:t>
      </w:r>
      <w:r>
        <w:rPr>
          <w:color w:val="222222"/>
          <w:sz w:val="20"/>
          <w:szCs w:val="20"/>
        </w:rPr>
        <w:t xml:space="preserve"> como caminhão, independentemente do peso.</w:t>
      </w:r>
    </w:p>
    <w:p w14:paraId="65536CDF" w14:textId="77777777" w:rsidR="00CF76D7" w:rsidRDefault="00000000">
      <w:pPr>
        <w:numPr>
          <w:ilvl w:val="0"/>
          <w:numId w:val="5"/>
        </w:numPr>
        <w:spacing w:after="60" w:line="250" w:lineRule="auto"/>
        <w:jc w:val="both"/>
      </w:pPr>
      <w:r>
        <w:rPr>
          <w:color w:val="222222"/>
          <w:sz w:val="20"/>
          <w:szCs w:val="20"/>
        </w:rPr>
        <w:t>Veículos, aeronaves e embarcações com características técnicas específicas para uso operacional das Forças Armadas e dos órgãos de segurança pública.</w:t>
      </w:r>
    </w:p>
    <w:p w14:paraId="4C84930F" w14:textId="77777777" w:rsidR="00CF76D7" w:rsidRDefault="00000000">
      <w:pPr>
        <w:keepNext/>
        <w:pBdr>
          <w:bottom w:val="single" w:sz="8" w:space="3" w:color="B08D57"/>
        </w:pBdr>
        <w:spacing w:before="200" w:after="120" w:line="250" w:lineRule="auto"/>
      </w:pPr>
      <w:r>
        <w:rPr>
          <w:rFonts w:ascii="Georgia" w:hAnsi="Georgia" w:cs="Georgia"/>
          <w:b/>
          <w:bCs/>
          <w:color w:val="B08D57"/>
          <w:sz w:val="24"/>
          <w:szCs w:val="24"/>
        </w:rPr>
        <w:t xml:space="preserve">07  </w:t>
      </w:r>
      <w:r>
        <w:rPr>
          <w:rFonts w:ascii="Georgia" w:hAnsi="Georgia" w:cs="Georgia"/>
          <w:b/>
          <w:bCs/>
          <w:color w:val="122543"/>
          <w:sz w:val="24"/>
          <w:szCs w:val="24"/>
        </w:rPr>
        <w:t>Aspectos operacionais da apuração</w:t>
      </w:r>
    </w:p>
    <w:tbl>
      <w:tblPr>
        <w:tblW w:w="1046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30" w:type="dxa"/>
          <w:left w:w="180" w:type="dxa"/>
          <w:bottom w:w="130" w:type="dxa"/>
          <w:right w:w="18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CF76D7" w14:paraId="29E4D917" w14:textId="77777777">
        <w:trPr>
          <w:cantSplit/>
          <w:jc w:val="center"/>
        </w:trPr>
        <w:tc>
          <w:tcPr>
            <w:tcW w:w="5233" w:type="dxa"/>
            <w:tcBorders>
              <w:top w:val="nil"/>
              <w:left w:val="single" w:sz="24" w:space="0" w:color="122543"/>
              <w:bottom w:val="single" w:sz="12" w:space="0" w:color="FFFFFF"/>
              <w:right w:val="single" w:sz="12" w:space="0" w:color="FFFFFF"/>
            </w:tcBorders>
            <w:shd w:val="clear" w:color="auto" w:fill="F3F5F8"/>
          </w:tcPr>
          <w:p w14:paraId="150A7D72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9"/>
                <w:szCs w:val="19"/>
              </w:rPr>
              <w:t>Apuração assistida (art. 12)</w:t>
            </w:r>
          </w:p>
          <w:p w14:paraId="4E7B2D78" w14:textId="77777777" w:rsidR="00CF76D7" w:rsidRDefault="00000000">
            <w:pPr>
              <w:spacing w:before="60" w:after="0" w:line="240" w:lineRule="auto"/>
            </w:pPr>
            <w:r>
              <w:rPr>
                <w:color w:val="333333"/>
                <w:sz w:val="17"/>
                <w:szCs w:val="17"/>
              </w:rPr>
              <w:t>A Receita Federal poderá apresentar o saldo do IS do período. Confirmar ou ajustar implica confissão de dívida; a ausência de manifestação no prazo faz presumir o saldo correto e constitui o crédito tributário.</w:t>
            </w:r>
          </w:p>
        </w:tc>
        <w:tc>
          <w:tcPr>
            <w:tcW w:w="5233" w:type="dxa"/>
            <w:tcBorders>
              <w:top w:val="nil"/>
              <w:left w:val="single" w:sz="24" w:space="0" w:color="122543"/>
              <w:bottom w:val="single" w:sz="12" w:space="0" w:color="FFFFFF"/>
              <w:right w:val="single" w:sz="12" w:space="0" w:color="FFFFFF"/>
            </w:tcBorders>
            <w:shd w:val="clear" w:color="auto" w:fill="F3F5F8"/>
          </w:tcPr>
          <w:p w14:paraId="668C3121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9"/>
                <w:szCs w:val="19"/>
              </w:rPr>
              <w:t>Extinção do débito (art. 14)</w:t>
            </w:r>
          </w:p>
          <w:p w14:paraId="2B45A558" w14:textId="77777777" w:rsidR="00CF76D7" w:rsidRDefault="00000000">
            <w:pPr>
              <w:spacing w:before="60" w:after="0" w:line="240" w:lineRule="auto"/>
            </w:pPr>
            <w:r>
              <w:rPr>
                <w:color w:val="333333"/>
                <w:sz w:val="17"/>
                <w:szCs w:val="17"/>
              </w:rPr>
              <w:t>Pagamento, recolhimento na liquidação financeira (split payment), pagamento pelo responsável, abatimento por devoluções e compensação.</w:t>
            </w:r>
          </w:p>
        </w:tc>
      </w:tr>
      <w:tr w:rsidR="00CF76D7" w14:paraId="12788EBF" w14:textId="77777777">
        <w:trPr>
          <w:cantSplit/>
          <w:jc w:val="center"/>
        </w:trPr>
        <w:tc>
          <w:tcPr>
            <w:tcW w:w="5233" w:type="dxa"/>
            <w:tcBorders>
              <w:top w:val="nil"/>
              <w:left w:val="single" w:sz="24" w:space="0" w:color="122543"/>
              <w:bottom w:val="single" w:sz="12" w:space="0" w:color="FFFFFF"/>
              <w:right w:val="single" w:sz="12" w:space="0" w:color="FFFFFF"/>
            </w:tcBorders>
            <w:shd w:val="clear" w:color="auto" w:fill="F3F5F8"/>
          </w:tcPr>
          <w:p w14:paraId="4B692311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9"/>
                <w:szCs w:val="19"/>
              </w:rPr>
              <w:t>Cancelamento de documento (art. 11)</w:t>
            </w:r>
          </w:p>
          <w:p w14:paraId="1B73299B" w14:textId="77777777" w:rsidR="00CF76D7" w:rsidRDefault="00000000">
            <w:pPr>
              <w:spacing w:before="60" w:after="0" w:line="240" w:lineRule="auto"/>
            </w:pPr>
            <w:r>
              <w:rPr>
                <w:color w:val="333333"/>
                <w:sz w:val="17"/>
                <w:szCs w:val="17"/>
              </w:rPr>
              <w:t>O IS da operação cancelada poderá ser abatido no período do cancelamento ou nos seguintes, conforme regulamento.</w:t>
            </w:r>
          </w:p>
        </w:tc>
        <w:tc>
          <w:tcPr>
            <w:tcW w:w="5233" w:type="dxa"/>
            <w:tcBorders>
              <w:top w:val="nil"/>
              <w:left w:val="single" w:sz="24" w:space="0" w:color="122543"/>
              <w:bottom w:val="single" w:sz="12" w:space="0" w:color="FFFFFF"/>
              <w:right w:val="single" w:sz="12" w:space="0" w:color="FFFFFF"/>
            </w:tcBorders>
            <w:shd w:val="clear" w:color="auto" w:fill="F3F5F8"/>
          </w:tcPr>
          <w:p w14:paraId="2C0FDE66" w14:textId="77777777" w:rsidR="00CF76D7" w:rsidRDefault="00000000">
            <w:pPr>
              <w:spacing w:after="0" w:line="240" w:lineRule="auto"/>
            </w:pPr>
            <w:r>
              <w:rPr>
                <w:b/>
                <w:bCs/>
                <w:color w:val="122543"/>
                <w:sz w:val="19"/>
                <w:szCs w:val="19"/>
              </w:rPr>
              <w:t>Plataforma eletrônica (art. 13)</w:t>
            </w:r>
          </w:p>
          <w:p w14:paraId="77D3C6A5" w14:textId="77777777" w:rsidR="00CF76D7" w:rsidRDefault="00000000">
            <w:pPr>
              <w:spacing w:before="60" w:after="0" w:line="240" w:lineRule="auto"/>
            </w:pPr>
            <w:r>
              <w:rPr>
                <w:color w:val="333333"/>
                <w:sz w:val="17"/>
                <w:szCs w:val="17"/>
              </w:rPr>
              <w:t>Apuração e pagamento acessados em plataforma da Receita Federal, com canal de atendimento e integração sistêmica gratuita.</w:t>
            </w:r>
          </w:p>
        </w:tc>
      </w:tr>
    </w:tbl>
    <w:p w14:paraId="3608F0F5" w14:textId="77777777" w:rsidR="00CF76D7" w:rsidRDefault="00000000">
      <w:pPr>
        <w:keepNext/>
        <w:pBdr>
          <w:bottom w:val="single" w:sz="8" w:space="3" w:color="B08D57"/>
        </w:pBdr>
        <w:spacing w:before="200" w:after="120" w:line="250" w:lineRule="auto"/>
      </w:pPr>
      <w:r>
        <w:rPr>
          <w:rFonts w:ascii="Georgia" w:hAnsi="Georgia" w:cs="Georgia"/>
          <w:b/>
          <w:bCs/>
          <w:color w:val="B08D57"/>
          <w:sz w:val="24"/>
          <w:szCs w:val="24"/>
        </w:rPr>
        <w:t xml:space="preserve">08  </w:t>
      </w:r>
      <w:r>
        <w:rPr>
          <w:rFonts w:ascii="Georgia" w:hAnsi="Georgia" w:cs="Georgia"/>
          <w:b/>
          <w:bCs/>
          <w:color w:val="122543"/>
          <w:sz w:val="24"/>
          <w:szCs w:val="24"/>
        </w:rPr>
        <w:t>Atenção ao estoque na virada para 2027</w:t>
      </w:r>
    </w:p>
    <w:p w14:paraId="1010A9FE" w14:textId="77777777" w:rsidR="00CF76D7" w:rsidRDefault="00000000">
      <w:pPr>
        <w:spacing w:after="120" w:line="250" w:lineRule="auto"/>
        <w:jc w:val="both"/>
      </w:pPr>
      <w:r>
        <w:rPr>
          <w:color w:val="222222"/>
          <w:sz w:val="21"/>
          <w:szCs w:val="21"/>
        </w:rPr>
        <w:t xml:space="preserve">Como a carga desses produtos deixa de ser calculada pela sistemática atual e passa a seguir as alíquotas do IS a partir de </w:t>
      </w:r>
      <w:r>
        <w:rPr>
          <w:b/>
          <w:bCs/>
          <w:color w:val="222222"/>
          <w:sz w:val="21"/>
          <w:szCs w:val="21"/>
        </w:rPr>
        <w:t>2 de fevereiro de 2027</w:t>
      </w:r>
      <w:r>
        <w:rPr>
          <w:color w:val="222222"/>
          <w:sz w:val="21"/>
          <w:szCs w:val="21"/>
        </w:rPr>
        <w:t>, o volume de compras, produção e estoque nos próximos meses influencia diretamente o custo dos produtos e a formação de preço. Embora o IS seja devido por fabricantes, produtores e importadores, o imposto compõe o custo de aquisição de atacadistas e varejistas ao longo da cadeia.</w:t>
      </w:r>
    </w:p>
    <w:p w14:paraId="6A563795" w14:textId="77777777" w:rsidR="00CF76D7" w:rsidRDefault="00CF76D7">
      <w:pPr>
        <w:spacing w:after="60" w:line="240" w:lineRule="auto"/>
        <w:jc w:val="both"/>
        <w:rPr>
          <w:sz w:val="4"/>
        </w:rPr>
      </w:pPr>
    </w:p>
    <w:tbl>
      <w:tblPr>
        <w:tblW w:w="10466" w:type="dxa"/>
        <w:jc w:val="center"/>
        <w:tblBorders>
          <w:top w:val="nil"/>
          <w:left w:val="single" w:sz="36" w:space="0" w:color="B08D57"/>
          <w:bottom w:val="nil"/>
          <w:right w:val="nil"/>
          <w:insideH w:val="nil"/>
          <w:insideV w:val="nil"/>
        </w:tblBorders>
        <w:tblLayout w:type="fixed"/>
        <w:tblCellMar>
          <w:top w:w="140" w:type="dxa"/>
          <w:left w:w="220" w:type="dxa"/>
          <w:bottom w:w="140" w:type="dxa"/>
          <w:right w:w="220" w:type="dxa"/>
        </w:tblCellMar>
        <w:tblLook w:val="04A0" w:firstRow="1" w:lastRow="0" w:firstColumn="1" w:lastColumn="0" w:noHBand="0" w:noVBand="1"/>
      </w:tblPr>
      <w:tblGrid>
        <w:gridCol w:w="10466"/>
      </w:tblGrid>
      <w:tr w:rsidR="00CF76D7" w14:paraId="33776683" w14:textId="77777777">
        <w:trPr>
          <w:cantSplit/>
          <w:jc w:val="center"/>
        </w:trPr>
        <w:tc>
          <w:tcPr>
            <w:tcW w:w="10466" w:type="dxa"/>
            <w:shd w:val="clear" w:color="auto" w:fill="F6F0E6"/>
            <w:vAlign w:val="center"/>
          </w:tcPr>
          <w:p w14:paraId="089F45D2" w14:textId="77777777" w:rsidR="00CF76D7" w:rsidRDefault="00000000">
            <w:pPr>
              <w:spacing w:after="80" w:line="240" w:lineRule="auto"/>
            </w:pPr>
            <w:r>
              <w:rPr>
                <w:rFonts w:ascii="Georgia" w:hAnsi="Georgia" w:cs="Georgia"/>
                <w:b/>
                <w:bCs/>
                <w:color w:val="122543"/>
                <w:sz w:val="21"/>
                <w:szCs w:val="21"/>
              </w:rPr>
              <w:t>Sua empresa trabalha com algum dos produtos listados?</w:t>
            </w:r>
          </w:p>
          <w:p w14:paraId="614631F9" w14:textId="77777777" w:rsidR="00CF76D7" w:rsidRDefault="00000000">
            <w:pPr>
              <w:spacing w:after="100" w:line="240" w:lineRule="auto"/>
            </w:pPr>
            <w:r>
              <w:rPr>
                <w:color w:val="222222"/>
                <w:sz w:val="20"/>
                <w:szCs w:val="20"/>
              </w:rPr>
              <w:t xml:space="preserve">Se sua empresa </w:t>
            </w:r>
            <w:r>
              <w:rPr>
                <w:b/>
                <w:bCs/>
                <w:color w:val="222222"/>
                <w:sz w:val="20"/>
                <w:szCs w:val="20"/>
              </w:rPr>
              <w:t>fabrica, importa, distribui ou revende</w:t>
            </w:r>
            <w:r>
              <w:rPr>
                <w:color w:val="222222"/>
                <w:sz w:val="20"/>
                <w:szCs w:val="20"/>
              </w:rPr>
              <w:t xml:space="preserve"> veículos, aeronaves, embarcações, bebidas alcoólicas, bebidas açucaradas, produtos fumígenos ou bens minerais, </w:t>
            </w:r>
            <w:r>
              <w:rPr>
                <w:b/>
                <w:bCs/>
                <w:color w:val="222222"/>
                <w:sz w:val="20"/>
                <w:szCs w:val="20"/>
              </w:rPr>
              <w:t>entre em contato com a nossa equipe fiscal</w:t>
            </w:r>
            <w:r>
              <w:rPr>
                <w:color w:val="222222"/>
                <w:sz w:val="20"/>
                <w:szCs w:val="20"/>
              </w:rPr>
              <w:t xml:space="preserve">. Vamos analisar o seu portfólio, identificar os itens alcançados pelo IS e traçar, em conjunto, uma </w:t>
            </w:r>
            <w:r>
              <w:rPr>
                <w:b/>
                <w:bCs/>
                <w:color w:val="222222"/>
                <w:sz w:val="20"/>
                <w:szCs w:val="20"/>
              </w:rPr>
              <w:t>estratégia de controle de estoque</w:t>
            </w:r>
            <w:r>
              <w:rPr>
                <w:color w:val="222222"/>
                <w:sz w:val="20"/>
                <w:szCs w:val="20"/>
              </w:rPr>
              <w:t xml:space="preserve"> para a transição.</w:t>
            </w:r>
          </w:p>
          <w:p w14:paraId="5CF80F7F" w14:textId="77777777" w:rsidR="00CF76D7" w:rsidRDefault="00000000">
            <w:pPr>
              <w:spacing w:after="0" w:line="240" w:lineRule="auto"/>
            </w:pPr>
            <w:r>
              <w:rPr>
                <w:color w:val="122543"/>
                <w:sz w:val="20"/>
                <w:szCs w:val="20"/>
              </w:rPr>
              <w:t xml:space="preserve">Fale com o seu analista responsável ou pelo </w:t>
            </w:r>
            <w:r>
              <w:rPr>
                <w:b/>
                <w:bCs/>
                <w:color w:val="122543"/>
                <w:sz w:val="20"/>
                <w:szCs w:val="20"/>
              </w:rPr>
              <w:t>0800 082 8200</w:t>
            </w:r>
            <w:r>
              <w:rPr>
                <w:color w:val="122543"/>
                <w:sz w:val="20"/>
                <w:szCs w:val="20"/>
              </w:rPr>
              <w:t>.</w:t>
            </w:r>
          </w:p>
        </w:tc>
      </w:tr>
    </w:tbl>
    <w:p w14:paraId="06A46E3C" w14:textId="77777777" w:rsidR="00CF76D7" w:rsidRDefault="00CF76D7">
      <w:pPr>
        <w:spacing w:after="100" w:line="240" w:lineRule="auto"/>
        <w:jc w:val="both"/>
        <w:rPr>
          <w:sz w:val="4"/>
        </w:rPr>
      </w:pPr>
    </w:p>
    <w:p w14:paraId="6D25A193" w14:textId="77777777" w:rsidR="00CF76D7" w:rsidRDefault="00000000">
      <w:pPr>
        <w:spacing w:line="250" w:lineRule="auto"/>
        <w:jc w:val="both"/>
      </w:pPr>
      <w:r>
        <w:rPr>
          <w:color w:val="222222"/>
          <w:sz w:val="21"/>
          <w:szCs w:val="21"/>
        </w:rPr>
        <w:t>Permanecemos à disposição para os esclarecimentos necessários.</w:t>
      </w:r>
    </w:p>
    <w:p w14:paraId="57B483EE" w14:textId="77777777" w:rsidR="00CF76D7" w:rsidRDefault="00000000">
      <w:pPr>
        <w:spacing w:after="0" w:line="250" w:lineRule="auto"/>
      </w:pPr>
      <w:r>
        <w:rPr>
          <w:rFonts w:ascii="Georgia" w:hAnsi="Georgia" w:cs="Georgia"/>
          <w:b/>
          <w:bCs/>
          <w:color w:val="122543"/>
          <w:sz w:val="21"/>
          <w:szCs w:val="21"/>
        </w:rPr>
        <w:t>Departamento Fiscal</w:t>
      </w:r>
    </w:p>
    <w:p w14:paraId="4336214B" w14:textId="77777777" w:rsidR="00CF76D7" w:rsidRDefault="00000000">
      <w:pPr>
        <w:spacing w:after="0" w:line="250" w:lineRule="auto"/>
      </w:pPr>
      <w:r>
        <w:rPr>
          <w:color w:val="5A6372"/>
          <w:sz w:val="19"/>
          <w:szCs w:val="19"/>
        </w:rPr>
        <w:t>JS Contadores</w:t>
      </w:r>
    </w:p>
    <w:sectPr w:rsidR="00CF76D7" w:rsidSect="00D103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AEE4C" w14:textId="77777777" w:rsidR="00C57816" w:rsidRDefault="00C57816" w:rsidP="000E628E">
      <w:pPr>
        <w:spacing w:after="0" w:line="240" w:lineRule="auto"/>
      </w:pPr>
      <w:r>
        <w:separator/>
      </w:r>
    </w:p>
  </w:endnote>
  <w:endnote w:type="continuationSeparator" w:id="0">
    <w:p w14:paraId="415E814F" w14:textId="77777777" w:rsidR="00C57816" w:rsidRDefault="00C57816" w:rsidP="000E6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325C6" w14:textId="77777777" w:rsidR="009D5F5E" w:rsidRDefault="009D5F5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8A7BC" w14:textId="77777777" w:rsidR="000E628E" w:rsidRDefault="00C55B18" w:rsidP="009D5F5E">
    <w:pPr>
      <w:pStyle w:val="Rodap"/>
      <w:ind w:left="-142" w:hanging="284"/>
      <w:jc w:val="center"/>
    </w:pPr>
    <w:r>
      <w:rPr>
        <w:noProof/>
      </w:rPr>
      <w:drawing>
        <wp:inline distT="0" distB="0" distL="0" distR="0" wp14:anchorId="7CE46DDE" wp14:editId="782D3D38">
          <wp:extent cx="6093838" cy="1133475"/>
          <wp:effectExtent l="0" t="0" r="2540" b="0"/>
          <wp:docPr id="148019257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0192571" name="Imagem 14801925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799" cy="11340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BB5C3" w14:textId="77777777" w:rsidR="009D5F5E" w:rsidRDefault="009D5F5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79D98" w14:textId="77777777" w:rsidR="00C57816" w:rsidRDefault="00C57816" w:rsidP="000E628E">
      <w:pPr>
        <w:spacing w:after="0" w:line="240" w:lineRule="auto"/>
      </w:pPr>
      <w:r>
        <w:separator/>
      </w:r>
    </w:p>
  </w:footnote>
  <w:footnote w:type="continuationSeparator" w:id="0">
    <w:p w14:paraId="28C00AFE" w14:textId="77777777" w:rsidR="00C57816" w:rsidRDefault="00C57816" w:rsidP="000E6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2734C" w14:textId="77777777" w:rsidR="009D5F5E" w:rsidRDefault="009D5F5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EE41" w14:textId="77777777" w:rsidR="000E628E" w:rsidRDefault="000E628E">
    <w:pPr>
      <w:pStyle w:val="Cabealho"/>
    </w:pPr>
    <w:r>
      <w:rPr>
        <w:noProof/>
        <w:lang w:eastAsia="pt-BR"/>
      </w:rPr>
      <w:drawing>
        <wp:inline distT="0" distB="0" distL="0" distR="0" wp14:anchorId="549A8DAB" wp14:editId="4839B8CE">
          <wp:extent cx="1944624" cy="539496"/>
          <wp:effectExtent l="0" t="0" r="0" b="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EL-TIMBRADO-JS-15-ANOS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624" cy="5394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62875" w14:textId="77777777" w:rsidR="009D5F5E" w:rsidRDefault="009D5F5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96A26"/>
    <w:multiLevelType w:val="hybridMultilevel"/>
    <w:tmpl w:val="1206DB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120D8"/>
    <w:multiLevelType w:val="hybridMultilevel"/>
    <w:tmpl w:val="6B6A25BE"/>
    <w:lvl w:ilvl="0" w:tplc="5CF2288C">
      <w:start w:val="1"/>
      <w:numFmt w:val="bullet"/>
      <w:lvlText w:val="•"/>
      <w:lvlJc w:val="left"/>
      <w:pPr>
        <w:ind w:left="720" w:hanging="360"/>
      </w:pPr>
    </w:lvl>
    <w:lvl w:ilvl="1" w:tplc="051C6EE0">
      <w:start w:val="1"/>
      <w:numFmt w:val="bullet"/>
      <w:lvlText w:val="◦"/>
      <w:lvlJc w:val="left"/>
      <w:pPr>
        <w:ind w:left="1440" w:hanging="360"/>
      </w:pPr>
    </w:lvl>
    <w:lvl w:ilvl="2" w:tplc="EDDA74B6">
      <w:start w:val="1"/>
      <w:numFmt w:val="bullet"/>
      <w:lvlText w:val="•"/>
      <w:lvlJc w:val="left"/>
      <w:pPr>
        <w:ind w:left="2160" w:hanging="360"/>
      </w:pPr>
    </w:lvl>
    <w:lvl w:ilvl="3" w:tplc="E058169E">
      <w:start w:val="1"/>
      <w:numFmt w:val="bullet"/>
      <w:lvlText w:val="◦"/>
      <w:lvlJc w:val="left"/>
      <w:pPr>
        <w:ind w:left="2880" w:hanging="360"/>
      </w:pPr>
    </w:lvl>
    <w:lvl w:ilvl="4" w:tplc="2146ED4A">
      <w:start w:val="1"/>
      <w:numFmt w:val="bullet"/>
      <w:lvlText w:val="•"/>
      <w:lvlJc w:val="left"/>
      <w:pPr>
        <w:ind w:left="3600" w:hanging="360"/>
      </w:pPr>
    </w:lvl>
    <w:lvl w:ilvl="5" w:tplc="D4EE3ED0">
      <w:start w:val="1"/>
      <w:numFmt w:val="bullet"/>
      <w:lvlText w:val="◦"/>
      <w:lvlJc w:val="left"/>
      <w:pPr>
        <w:ind w:left="4320" w:hanging="360"/>
      </w:pPr>
    </w:lvl>
    <w:lvl w:ilvl="6" w:tplc="32568EEA">
      <w:start w:val="1"/>
      <w:numFmt w:val="bullet"/>
      <w:lvlText w:val="•"/>
      <w:lvlJc w:val="left"/>
      <w:pPr>
        <w:ind w:left="5040" w:hanging="360"/>
      </w:pPr>
    </w:lvl>
    <w:lvl w:ilvl="7" w:tplc="3B0EE074">
      <w:numFmt w:val="decimal"/>
      <w:lvlText w:val=""/>
      <w:lvlJc w:val="left"/>
    </w:lvl>
    <w:lvl w:ilvl="8" w:tplc="87F2F18A">
      <w:numFmt w:val="decimal"/>
      <w:lvlText w:val=""/>
      <w:lvlJc w:val="left"/>
    </w:lvl>
  </w:abstractNum>
  <w:abstractNum w:abstractNumId="2" w15:restartNumberingAfterBreak="0">
    <w:nsid w:val="39EC4B58"/>
    <w:multiLevelType w:val="hybridMultilevel"/>
    <w:tmpl w:val="6E426E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FA4FA2"/>
    <w:multiLevelType w:val="hybridMultilevel"/>
    <w:tmpl w:val="59BE4DB0"/>
    <w:lvl w:ilvl="0" w:tplc="BF0A6A22">
      <w:start w:val="1"/>
      <w:numFmt w:val="bullet"/>
      <w:lvlText w:val="•"/>
      <w:lvlJc w:val="left"/>
      <w:pPr>
        <w:ind w:left="720" w:hanging="360"/>
      </w:pPr>
    </w:lvl>
    <w:lvl w:ilvl="1" w:tplc="3B348840">
      <w:start w:val="1"/>
      <w:numFmt w:val="bullet"/>
      <w:lvlText w:val="◦"/>
      <w:lvlJc w:val="left"/>
      <w:pPr>
        <w:ind w:left="1440" w:hanging="360"/>
      </w:pPr>
    </w:lvl>
    <w:lvl w:ilvl="2" w:tplc="7DA0D468">
      <w:start w:val="1"/>
      <w:numFmt w:val="bullet"/>
      <w:lvlText w:val="•"/>
      <w:lvlJc w:val="left"/>
      <w:pPr>
        <w:ind w:left="2160" w:hanging="360"/>
      </w:pPr>
    </w:lvl>
    <w:lvl w:ilvl="3" w:tplc="5420D066">
      <w:start w:val="1"/>
      <w:numFmt w:val="bullet"/>
      <w:lvlText w:val="◦"/>
      <w:lvlJc w:val="left"/>
      <w:pPr>
        <w:ind w:left="2880" w:hanging="360"/>
      </w:pPr>
    </w:lvl>
    <w:lvl w:ilvl="4" w:tplc="796ED99C">
      <w:start w:val="1"/>
      <w:numFmt w:val="bullet"/>
      <w:lvlText w:val="•"/>
      <w:lvlJc w:val="left"/>
      <w:pPr>
        <w:ind w:left="3600" w:hanging="360"/>
      </w:pPr>
    </w:lvl>
    <w:lvl w:ilvl="5" w:tplc="AFC6CCBE">
      <w:start w:val="1"/>
      <w:numFmt w:val="bullet"/>
      <w:lvlText w:val="◦"/>
      <w:lvlJc w:val="left"/>
      <w:pPr>
        <w:ind w:left="4320" w:hanging="360"/>
      </w:pPr>
    </w:lvl>
    <w:lvl w:ilvl="6" w:tplc="3A7AABEC">
      <w:start w:val="1"/>
      <w:numFmt w:val="bullet"/>
      <w:lvlText w:val="•"/>
      <w:lvlJc w:val="left"/>
      <w:pPr>
        <w:ind w:left="5040" w:hanging="360"/>
      </w:pPr>
    </w:lvl>
    <w:lvl w:ilvl="7" w:tplc="002A8A8C">
      <w:numFmt w:val="decimal"/>
      <w:lvlText w:val=""/>
      <w:lvlJc w:val="left"/>
      <w:pPr>
        <w:ind w:left="0" w:firstLine="0"/>
      </w:pPr>
    </w:lvl>
    <w:lvl w:ilvl="8" w:tplc="966E6F52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4DF20F2D"/>
    <w:multiLevelType w:val="singleLevel"/>
    <w:tmpl w:val="D4042518"/>
    <w:lvl w:ilvl="0">
      <w:start w:val="1"/>
      <w:numFmt w:val="bullet"/>
      <w:lvlText w:val="■"/>
      <w:lvlJc w:val="left"/>
      <w:pPr>
        <w:ind w:left="340" w:hanging="220"/>
      </w:pPr>
      <w:rPr>
        <w:rFonts w:ascii="Arial" w:hAnsi="Arial"/>
        <w:color w:val="B08D57"/>
        <w:sz w:val="14"/>
      </w:rPr>
    </w:lvl>
  </w:abstractNum>
  <w:num w:numId="1" w16cid:durableId="1628394843">
    <w:abstractNumId w:val="2"/>
  </w:num>
  <w:num w:numId="2" w16cid:durableId="1288707914">
    <w:abstractNumId w:val="0"/>
  </w:num>
  <w:num w:numId="3" w16cid:durableId="1154570074">
    <w:abstractNumId w:val="3"/>
  </w:num>
  <w:num w:numId="4" w16cid:durableId="368335412">
    <w:abstractNumId w:val="1"/>
    <w:lvlOverride w:ilvl="0">
      <w:startOverride w:val="1"/>
    </w:lvlOverride>
  </w:num>
  <w:num w:numId="5" w16cid:durableId="12512333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28E"/>
    <w:rsid w:val="000163EB"/>
    <w:rsid w:val="00050EA1"/>
    <w:rsid w:val="00067B52"/>
    <w:rsid w:val="00095FA5"/>
    <w:rsid w:val="000E628E"/>
    <w:rsid w:val="00161A8E"/>
    <w:rsid w:val="00167ABE"/>
    <w:rsid w:val="00192AD9"/>
    <w:rsid w:val="001B6AE2"/>
    <w:rsid w:val="002643F1"/>
    <w:rsid w:val="002B086E"/>
    <w:rsid w:val="002E1D6C"/>
    <w:rsid w:val="002F5276"/>
    <w:rsid w:val="003D420A"/>
    <w:rsid w:val="003F379D"/>
    <w:rsid w:val="003F73CD"/>
    <w:rsid w:val="00434F99"/>
    <w:rsid w:val="00446E66"/>
    <w:rsid w:val="00470AB2"/>
    <w:rsid w:val="00492521"/>
    <w:rsid w:val="004B5876"/>
    <w:rsid w:val="00547842"/>
    <w:rsid w:val="00584920"/>
    <w:rsid w:val="00594302"/>
    <w:rsid w:val="005D25B7"/>
    <w:rsid w:val="005D3D07"/>
    <w:rsid w:val="00614295"/>
    <w:rsid w:val="00651ED6"/>
    <w:rsid w:val="0067318E"/>
    <w:rsid w:val="0068078E"/>
    <w:rsid w:val="006809C5"/>
    <w:rsid w:val="006C7068"/>
    <w:rsid w:val="006D7A9E"/>
    <w:rsid w:val="00705882"/>
    <w:rsid w:val="007567A4"/>
    <w:rsid w:val="007949A7"/>
    <w:rsid w:val="00911EB2"/>
    <w:rsid w:val="009D5F5E"/>
    <w:rsid w:val="00A00116"/>
    <w:rsid w:val="00A35DD4"/>
    <w:rsid w:val="00A36385"/>
    <w:rsid w:val="00A37781"/>
    <w:rsid w:val="00A71D6A"/>
    <w:rsid w:val="00A83E6B"/>
    <w:rsid w:val="00A84817"/>
    <w:rsid w:val="00AA1709"/>
    <w:rsid w:val="00AC750D"/>
    <w:rsid w:val="00AE7B5C"/>
    <w:rsid w:val="00B430D0"/>
    <w:rsid w:val="00B65D4B"/>
    <w:rsid w:val="00B85BA8"/>
    <w:rsid w:val="00BD6AB0"/>
    <w:rsid w:val="00BE1151"/>
    <w:rsid w:val="00BF62F9"/>
    <w:rsid w:val="00C469F1"/>
    <w:rsid w:val="00C55B18"/>
    <w:rsid w:val="00C57816"/>
    <w:rsid w:val="00CB23B1"/>
    <w:rsid w:val="00CF76D7"/>
    <w:rsid w:val="00D103BA"/>
    <w:rsid w:val="00D226B6"/>
    <w:rsid w:val="00D275D1"/>
    <w:rsid w:val="00D81533"/>
    <w:rsid w:val="00DA5D4C"/>
    <w:rsid w:val="00E352E3"/>
    <w:rsid w:val="00EA0C00"/>
    <w:rsid w:val="00F16BFE"/>
    <w:rsid w:val="00FF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292F23"/>
  <w15:chartTrackingRefBased/>
  <w15:docId w15:val="{22D82D3E-7C36-4E67-A33A-81EE83A00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E62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E628E"/>
  </w:style>
  <w:style w:type="paragraph" w:styleId="Rodap">
    <w:name w:val="footer"/>
    <w:basedOn w:val="Normal"/>
    <w:link w:val="RodapChar"/>
    <w:uiPriority w:val="99"/>
    <w:unhideWhenUsed/>
    <w:rsid w:val="000E62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E628E"/>
  </w:style>
  <w:style w:type="paragraph" w:styleId="Textodebalo">
    <w:name w:val="Balloon Text"/>
    <w:basedOn w:val="Normal"/>
    <w:link w:val="TextodebaloChar"/>
    <w:uiPriority w:val="99"/>
    <w:semiHidden/>
    <w:unhideWhenUsed/>
    <w:rsid w:val="000E62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628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469F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2B086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B08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B086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2B086E"/>
    <w:rPr>
      <w:rFonts w:eastAsiaTheme="minorEastAsia"/>
      <w:color w:val="5A5A5A" w:themeColor="text1" w:themeTint="A5"/>
      <w:spacing w:val="15"/>
    </w:rPr>
  </w:style>
  <w:style w:type="paragraph" w:styleId="PargrafodaLista">
    <w:name w:val="List Paragraph"/>
    <w:basedOn w:val="Normal"/>
    <w:uiPriority w:val="34"/>
    <w:qFormat/>
    <w:rsid w:val="002B086E"/>
    <w:pPr>
      <w:ind w:left="720"/>
      <w:contextualSpacing/>
    </w:pPr>
  </w:style>
  <w:style w:type="character" w:styleId="TtulodoLivro">
    <w:name w:val="Book Title"/>
    <w:basedOn w:val="Fontepargpadro"/>
    <w:uiPriority w:val="33"/>
    <w:qFormat/>
    <w:rsid w:val="002B086E"/>
    <w:rPr>
      <w:b/>
      <w:bCs/>
      <w:i/>
      <w:iCs/>
      <w:spacing w:val="5"/>
    </w:rPr>
  </w:style>
  <w:style w:type="character" w:styleId="RefernciaIntensa">
    <w:name w:val="Intense Reference"/>
    <w:basedOn w:val="Fontepargpadro"/>
    <w:uiPriority w:val="32"/>
    <w:qFormat/>
    <w:rsid w:val="002B086E"/>
    <w:rPr>
      <w:b/>
      <w:bCs/>
      <w:smallCaps/>
      <w:color w:val="5B9BD5" w:themeColor="accent1"/>
      <w:spacing w:val="5"/>
    </w:rPr>
  </w:style>
  <w:style w:type="character" w:styleId="RefernciaSutil">
    <w:name w:val="Subtle Reference"/>
    <w:basedOn w:val="Fontepargpadro"/>
    <w:uiPriority w:val="31"/>
    <w:qFormat/>
    <w:rsid w:val="002B086E"/>
    <w:rPr>
      <w:smallCaps/>
      <w:color w:val="5A5A5A" w:themeColor="text1" w:themeTint="A5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B086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B086E"/>
    <w:rPr>
      <w:i/>
      <w:iCs/>
      <w:color w:val="5B9BD5" w:themeColor="accent1"/>
    </w:rPr>
  </w:style>
  <w:style w:type="paragraph" w:styleId="Citao">
    <w:name w:val="Quote"/>
    <w:basedOn w:val="Normal"/>
    <w:next w:val="Normal"/>
    <w:link w:val="CitaoChar"/>
    <w:uiPriority w:val="29"/>
    <w:qFormat/>
    <w:rsid w:val="002B086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B086E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qFormat/>
    <w:rsid w:val="002B086E"/>
    <w:rPr>
      <w:b/>
      <w:bCs/>
    </w:rPr>
  </w:style>
  <w:style w:type="character" w:styleId="nfaseIntensa">
    <w:name w:val="Intense Emphasis"/>
    <w:basedOn w:val="Fontepargpadro"/>
    <w:uiPriority w:val="21"/>
    <w:qFormat/>
    <w:rsid w:val="002B086E"/>
    <w:rPr>
      <w:i/>
      <w:iCs/>
      <w:color w:val="5B9BD5" w:themeColor="accent1"/>
    </w:rPr>
  </w:style>
  <w:style w:type="character" w:styleId="nfase">
    <w:name w:val="Emphasis"/>
    <w:basedOn w:val="Fontepargpadro"/>
    <w:uiPriority w:val="20"/>
    <w:qFormat/>
    <w:rsid w:val="002B086E"/>
    <w:rPr>
      <w:i/>
      <w:iCs/>
    </w:rPr>
  </w:style>
  <w:style w:type="paragraph" w:customStyle="1" w:styleId="MdSpace">
    <w:name w:val="MdSpace"/>
    <w:qFormat/>
    <w:rsid w:val="00167ABE"/>
    <w:pPr>
      <w:spacing w:after="0" w:line="240" w:lineRule="auto"/>
    </w:pPr>
    <w:rPr>
      <w:rFonts w:ascii="Times New Roman" w:eastAsia="Times New Roman" w:hAnsi="Times New Roman" w:cs="Times New Roman"/>
      <w:sz w:val="12"/>
      <w:szCs w:val="12"/>
      <w:lang w:eastAsia="pt-BR"/>
    </w:rPr>
  </w:style>
  <w:style w:type="paragraph" w:customStyle="1" w:styleId="MdHr">
    <w:name w:val="MdHr"/>
    <w:qFormat/>
    <w:rsid w:val="00167ABE"/>
    <w:pPr>
      <w:pBdr>
        <w:bottom w:val="single" w:sz="1" w:space="1" w:color="A5A5A5"/>
      </w:pBd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MdParagraph">
    <w:name w:val="MdParagraph"/>
    <w:qFormat/>
    <w:rsid w:val="00167ABE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MdListItem">
    <w:name w:val="MdListItem"/>
    <w:qFormat/>
    <w:rsid w:val="00167ABE"/>
    <w:pPr>
      <w:spacing w:before="60" w:after="60" w:line="240" w:lineRule="auto"/>
      <w:ind w:left="720" w:hanging="36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MdHeading1">
    <w:name w:val="MdHeading1"/>
    <w:qFormat/>
    <w:rsid w:val="00167ABE"/>
    <w:pPr>
      <w:keepNext/>
      <w:spacing w:before="480" w:after="240" w:line="240" w:lineRule="auto"/>
      <w:outlineLvl w:val="0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MdHeading2">
    <w:name w:val="MdHeading2"/>
    <w:qFormat/>
    <w:rsid w:val="00167ABE"/>
    <w:pPr>
      <w:keepNext/>
      <w:spacing w:before="400" w:after="200" w:line="240" w:lineRule="auto"/>
      <w:outlineLvl w:val="1"/>
    </w:pPr>
    <w:rPr>
      <w:rFonts w:ascii="Times New Roman" w:eastAsia="Times New Roman" w:hAnsi="Times New Roman" w:cs="Times New Roman"/>
      <w:b/>
      <w:bCs/>
      <w:sz w:val="32"/>
      <w:szCs w:val="32"/>
      <w:lang w:eastAsia="pt-BR"/>
    </w:rPr>
  </w:style>
  <w:style w:type="paragraph" w:customStyle="1" w:styleId="MdHeading3">
    <w:name w:val="MdHeading3"/>
    <w:qFormat/>
    <w:rsid w:val="00167ABE"/>
    <w:pPr>
      <w:keepNext/>
      <w:spacing w:before="32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MdStrong">
    <w:name w:val="MdStrong"/>
    <w:uiPriority w:val="99"/>
    <w:unhideWhenUsed/>
    <w:qFormat/>
    <w:rsid w:val="00167A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F95C7-02FC-4DB1-91DC-533470F5C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1501</Words>
  <Characters>8110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COMUNICAÇÃO</dc:creator>
  <cp:keywords/>
  <dc:description/>
  <cp:lastModifiedBy>Matheus Medeiros</cp:lastModifiedBy>
  <cp:revision>2</cp:revision>
  <cp:lastPrinted>2026-02-26T18:13:00Z</cp:lastPrinted>
  <dcterms:created xsi:type="dcterms:W3CDTF">2026-11-05T11:15:00Z</dcterms:created>
  <dcterms:modified xsi:type="dcterms:W3CDTF">2026-11-05T11:15:00Z</dcterms:modified>
</cp:coreProperties>
</file>